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0DDA" w14:textId="77777777" w:rsidR="008A29F7" w:rsidRDefault="008A29F7" w:rsidP="00683EB4">
      <w:pPr>
        <w:pStyle w:val="Title"/>
        <w:jc w:val="center"/>
        <w:rPr>
          <w:b w:val="0"/>
        </w:rPr>
      </w:pPr>
      <w:bookmarkStart w:id="0" w:name="OLE_LINK1"/>
    </w:p>
    <w:p w14:paraId="06DA3A55" w14:textId="65FDAF9A" w:rsidR="00B93038" w:rsidRDefault="00B93038" w:rsidP="00683EB4">
      <w:pPr>
        <w:pStyle w:val="Title"/>
        <w:jc w:val="center"/>
        <w:rPr>
          <w:b w:val="0"/>
        </w:rPr>
      </w:pPr>
      <w:r w:rsidRPr="007A02AB">
        <w:t xml:space="preserve">KİMYASAL ANKRAJ (DÜBEL) İLE BETON-BETON BİRLEŞİMİ (FİLİZ EKİMİ) İŞLERİ </w:t>
      </w:r>
      <w:r w:rsidR="007142B9">
        <w:t xml:space="preserve"> </w:t>
      </w:r>
      <w:r w:rsidRPr="007A02AB">
        <w:t>TEKNİK ŞARTNAMESİ</w:t>
      </w:r>
    </w:p>
    <w:p w14:paraId="407ADF71" w14:textId="77777777" w:rsidR="008A29F7" w:rsidRPr="007A02AB" w:rsidRDefault="008A29F7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</w:rPr>
      </w:pPr>
    </w:p>
    <w:p w14:paraId="6F485324" w14:textId="77777777" w:rsidR="00022170" w:rsidRDefault="00022170" w:rsidP="00683EB4">
      <w:pPr>
        <w:pStyle w:val="Heading1"/>
        <w:numPr>
          <w:ilvl w:val="0"/>
          <w:numId w:val="9"/>
        </w:numPr>
      </w:pPr>
      <w:r w:rsidRPr="007A02AB">
        <w:t>MALZEME UYGUNLUK KRİTERLERİ</w:t>
      </w:r>
    </w:p>
    <w:p w14:paraId="7F1BC37A" w14:textId="56871F0C" w:rsidR="00B93038" w:rsidRPr="007A02AB" w:rsidRDefault="00B93038" w:rsidP="00B93038">
      <w:pPr>
        <w:spacing w:afterLines="60" w:after="144"/>
        <w:jc w:val="both"/>
        <w:rPr>
          <w:rFonts w:ascii="Times New Roman" w:hAnsi="Times New Roman" w:cs="Times New Roman"/>
          <w:sz w:val="22"/>
          <w:lang w:val="tr-TR"/>
        </w:rPr>
      </w:pPr>
      <w:r w:rsidRPr="007A02AB">
        <w:rPr>
          <w:rFonts w:ascii="Times New Roman" w:hAnsi="Times New Roman" w:cs="Times New Roman"/>
          <w:b/>
          <w:sz w:val="22"/>
          <w:lang w:val="tr-TR"/>
        </w:rPr>
        <w:t>Türkiye Bina Deprem Yönetmeliği (TBDY</w:t>
      </w:r>
      <w:r w:rsidR="00746523">
        <w:rPr>
          <w:rFonts w:ascii="Times New Roman" w:hAnsi="Times New Roman" w:cs="Times New Roman"/>
          <w:b/>
          <w:sz w:val="22"/>
          <w:lang w:val="tr-TR"/>
        </w:rPr>
        <w:t xml:space="preserve"> 2018</w:t>
      </w:r>
      <w:r w:rsidRPr="007A02AB">
        <w:rPr>
          <w:rFonts w:ascii="Times New Roman" w:hAnsi="Times New Roman" w:cs="Times New Roman"/>
          <w:b/>
          <w:sz w:val="22"/>
          <w:lang w:val="tr-TR"/>
        </w:rPr>
        <w:t>)</w:t>
      </w:r>
      <w:r w:rsidRPr="007A02AB">
        <w:rPr>
          <w:rFonts w:ascii="Times New Roman" w:hAnsi="Times New Roman" w:cs="Times New Roman"/>
          <w:sz w:val="22"/>
          <w:lang w:val="tr-TR"/>
        </w:rPr>
        <w:t xml:space="preserve"> başlık “1.2. Genel İlkeler”e göre deprem etkisi altında tasarımı yapılan binalar, malzeme ve işçilik koşulları bakımından </w:t>
      </w:r>
      <w:r w:rsidRPr="007A02AB">
        <w:rPr>
          <w:rFonts w:ascii="Times New Roman" w:hAnsi="Times New Roman" w:cs="Times New Roman"/>
          <w:b/>
          <w:sz w:val="22"/>
          <w:lang w:val="tr-TR"/>
        </w:rPr>
        <w:t>Çevre ve Şehircilik Bakanlığı</w:t>
      </w:r>
      <w:r w:rsidRPr="007A02AB">
        <w:rPr>
          <w:rFonts w:ascii="Times New Roman" w:hAnsi="Times New Roman" w:cs="Times New Roman"/>
          <w:sz w:val="22"/>
          <w:lang w:val="tr-TR"/>
        </w:rPr>
        <w:t xml:space="preserve"> şartnamelerine uygun olmalıdır.</w:t>
      </w:r>
    </w:p>
    <w:p w14:paraId="672711E2" w14:textId="7B9852A8" w:rsidR="00B93038" w:rsidRDefault="007E3898" w:rsidP="00B93038">
      <w:pPr>
        <w:spacing w:afterLines="60" w:after="144"/>
        <w:jc w:val="both"/>
        <w:rPr>
          <w:rFonts w:ascii="Times New Roman" w:hAnsi="Times New Roman" w:cs="Times New Roman"/>
          <w:sz w:val="22"/>
          <w:lang w:val="tr-TR"/>
        </w:rPr>
      </w:pPr>
      <w:r>
        <w:rPr>
          <w:rFonts w:ascii="Times New Roman" w:hAnsi="Times New Roman" w:cs="Times New Roman"/>
          <w:sz w:val="22"/>
          <w:lang w:val="tr-TR"/>
        </w:rPr>
        <w:t xml:space="preserve">Birincil yapısal öneme sahip </w:t>
      </w:r>
      <w:r w:rsidRPr="00740D86">
        <w:rPr>
          <w:rFonts w:ascii="Times New Roman" w:hAnsi="Times New Roman" w:cs="Times New Roman"/>
          <w:b/>
          <w:bCs/>
          <w:sz w:val="22"/>
          <w:lang w:val="tr-TR"/>
        </w:rPr>
        <w:t>kolon, kiriş, perde ve benzeri yapısal el</w:t>
      </w:r>
      <w:r w:rsidR="00740D86">
        <w:rPr>
          <w:rFonts w:ascii="Times New Roman" w:hAnsi="Times New Roman" w:cs="Times New Roman"/>
          <w:b/>
          <w:bCs/>
          <w:sz w:val="22"/>
          <w:lang w:val="tr-TR"/>
        </w:rPr>
        <w:t>e</w:t>
      </w:r>
      <w:r w:rsidRPr="00740D86">
        <w:rPr>
          <w:rFonts w:ascii="Times New Roman" w:hAnsi="Times New Roman" w:cs="Times New Roman"/>
          <w:b/>
          <w:bCs/>
          <w:sz w:val="22"/>
          <w:lang w:val="tr-TR"/>
        </w:rPr>
        <w:t>manlar</w:t>
      </w:r>
      <w:r>
        <w:rPr>
          <w:rFonts w:ascii="Times New Roman" w:hAnsi="Times New Roman" w:cs="Times New Roman"/>
          <w:sz w:val="22"/>
          <w:lang w:val="tr-TR"/>
        </w:rPr>
        <w:t xml:space="preserve"> için </w:t>
      </w:r>
      <w:r w:rsidR="00B93038" w:rsidRPr="007A02AB">
        <w:rPr>
          <w:rFonts w:ascii="Times New Roman" w:hAnsi="Times New Roman" w:cs="Times New Roman"/>
          <w:sz w:val="22"/>
          <w:lang w:val="tr-TR"/>
        </w:rPr>
        <w:t xml:space="preserve">Çevre ve Şehircilik Bakanlığı’nın “Yapı İşleri İnşaat, Makine ve Elektrik Tesisatı Genel Teknik Şartnameleri – Bölüm 6 : Betonarme İşleri Genel Teknik Şartnamesi”nde </w:t>
      </w:r>
      <w:r w:rsidR="00DE7B98">
        <w:rPr>
          <w:rFonts w:ascii="Times New Roman" w:hAnsi="Times New Roman" w:cs="Times New Roman"/>
          <w:sz w:val="22"/>
          <w:lang w:val="tr-TR"/>
        </w:rPr>
        <w:t>(6.10.1)</w:t>
      </w:r>
      <w:r w:rsidR="00DE7B98" w:rsidRPr="007A02AB">
        <w:rPr>
          <w:rFonts w:ascii="Times New Roman" w:hAnsi="Times New Roman" w:cs="Times New Roman"/>
          <w:sz w:val="22"/>
          <w:lang w:val="tr-TR"/>
        </w:rPr>
        <w:t xml:space="preserve"> </w:t>
      </w:r>
      <w:r w:rsidR="00B93038" w:rsidRPr="007A02AB">
        <w:rPr>
          <w:rFonts w:ascii="Times New Roman" w:hAnsi="Times New Roman" w:cs="Times New Roman"/>
          <w:sz w:val="22"/>
          <w:lang w:val="tr-TR"/>
        </w:rPr>
        <w:t>yer aldığı gibi</w:t>
      </w:r>
      <w:r w:rsidR="00DE7B98">
        <w:rPr>
          <w:rFonts w:ascii="Times New Roman" w:hAnsi="Times New Roman" w:cs="Times New Roman"/>
          <w:sz w:val="22"/>
          <w:lang w:val="tr-TR"/>
        </w:rPr>
        <w:t xml:space="preserve">, </w:t>
      </w:r>
      <w:r w:rsidR="00B93038" w:rsidRPr="007A02AB">
        <w:rPr>
          <w:rFonts w:ascii="Times New Roman" w:hAnsi="Times New Roman" w:cs="Times New Roman"/>
          <w:sz w:val="22"/>
          <w:lang w:val="tr-TR"/>
        </w:rPr>
        <w:t>kimyasal ankraj</w:t>
      </w:r>
      <w:r w:rsidR="00022170" w:rsidRPr="007A02AB">
        <w:rPr>
          <w:rFonts w:ascii="Times New Roman" w:hAnsi="Times New Roman" w:cs="Times New Roman"/>
          <w:sz w:val="22"/>
          <w:lang w:val="tr-TR"/>
        </w:rPr>
        <w:t xml:space="preserve"> (epoksi)</w:t>
      </w:r>
      <w:r w:rsidR="00B93038" w:rsidRPr="007A02AB">
        <w:rPr>
          <w:rFonts w:ascii="Times New Roman" w:hAnsi="Times New Roman" w:cs="Times New Roman"/>
          <w:sz w:val="22"/>
          <w:lang w:val="tr-TR"/>
        </w:rPr>
        <w:t xml:space="preserve"> </w:t>
      </w:r>
      <w:r w:rsidR="00B93038" w:rsidRPr="007A02AB">
        <w:rPr>
          <w:rFonts w:ascii="Times New Roman" w:hAnsi="Times New Roman" w:cs="Times New Roman"/>
          <w:b/>
          <w:sz w:val="22"/>
          <w:lang w:val="tr-TR"/>
        </w:rPr>
        <w:t>“Filiz Ekimi (</w:t>
      </w:r>
      <w:r w:rsidR="00B93038" w:rsidRPr="007A02AB">
        <w:rPr>
          <w:rFonts w:ascii="Times New Roman" w:hAnsi="Times New Roman" w:cs="Times New Roman"/>
          <w:b/>
          <w:i/>
          <w:sz w:val="22"/>
          <w:lang w:val="tr-TR"/>
        </w:rPr>
        <w:t>Post-Installed</w:t>
      </w:r>
      <w:r w:rsidR="00DE7B98">
        <w:rPr>
          <w:rFonts w:ascii="Times New Roman" w:hAnsi="Times New Roman" w:cs="Times New Roman"/>
          <w:b/>
          <w:i/>
          <w:sz w:val="22"/>
          <w:lang w:val="tr-TR"/>
        </w:rPr>
        <w:t xml:space="preserve"> </w:t>
      </w:r>
      <w:r w:rsidR="00B93038" w:rsidRPr="007A02AB">
        <w:rPr>
          <w:rFonts w:ascii="Times New Roman" w:hAnsi="Times New Roman" w:cs="Times New Roman"/>
          <w:b/>
          <w:i/>
          <w:sz w:val="22"/>
          <w:lang w:val="tr-TR"/>
        </w:rPr>
        <w:t>Rebar</w:t>
      </w:r>
      <w:r w:rsidR="00B93038" w:rsidRPr="007A02AB">
        <w:rPr>
          <w:rFonts w:ascii="Times New Roman" w:hAnsi="Times New Roman" w:cs="Times New Roman"/>
          <w:b/>
          <w:sz w:val="22"/>
          <w:lang w:val="tr-TR"/>
        </w:rPr>
        <w:t>)”</w:t>
      </w:r>
      <w:r w:rsidR="00B93038" w:rsidRPr="007A02AB">
        <w:rPr>
          <w:rFonts w:ascii="Times New Roman" w:hAnsi="Times New Roman" w:cs="Times New Roman"/>
          <w:sz w:val="22"/>
          <w:lang w:val="tr-TR"/>
        </w:rPr>
        <w:t xml:space="preserve"> uygulamasında </w:t>
      </w:r>
      <w:r w:rsidR="00EF2ADA">
        <w:rPr>
          <w:rFonts w:ascii="Times New Roman" w:hAnsi="Times New Roman" w:cs="Times New Roman"/>
          <w:sz w:val="22"/>
          <w:lang w:val="tr-TR"/>
        </w:rPr>
        <w:t xml:space="preserve">bindirmesiz bağlantılar için </w:t>
      </w:r>
      <w:r w:rsidR="00EF2ADA" w:rsidRPr="00EF2ADA">
        <w:rPr>
          <w:rFonts w:ascii="Times New Roman" w:hAnsi="Times New Roman" w:cs="Times New Roman"/>
          <w:b/>
          <w:bCs/>
          <w:sz w:val="22"/>
          <w:lang w:val="tr-TR"/>
        </w:rPr>
        <w:t>332402 EAD (Avrupa Değerlendirme Belgesi)</w:t>
      </w:r>
      <w:r w:rsidR="00EF2ADA">
        <w:rPr>
          <w:rFonts w:ascii="Times New Roman" w:hAnsi="Times New Roman" w:cs="Times New Roman"/>
          <w:sz w:val="22"/>
          <w:lang w:val="tr-TR"/>
        </w:rPr>
        <w:t xml:space="preserve"> numaralı, bindirmeli bağlantılar için </w:t>
      </w:r>
      <w:r w:rsidR="00EF2ADA" w:rsidRPr="002C35A7">
        <w:rPr>
          <w:rFonts w:ascii="Times New Roman" w:hAnsi="Times New Roman" w:cs="Times New Roman"/>
          <w:b/>
          <w:bCs/>
          <w:sz w:val="22"/>
          <w:lang w:val="tr-TR"/>
        </w:rPr>
        <w:t>330087 EAD</w:t>
      </w:r>
      <w:r w:rsidR="00EF2ADA">
        <w:rPr>
          <w:rFonts w:ascii="Times New Roman" w:hAnsi="Times New Roman" w:cs="Times New Roman"/>
          <w:sz w:val="22"/>
          <w:lang w:val="tr-TR"/>
        </w:rPr>
        <w:t xml:space="preserve"> </w:t>
      </w:r>
      <w:r w:rsidR="00EF2ADA" w:rsidRPr="00EF2ADA">
        <w:rPr>
          <w:rFonts w:ascii="Times New Roman" w:hAnsi="Times New Roman" w:cs="Times New Roman"/>
          <w:b/>
          <w:bCs/>
          <w:sz w:val="22"/>
          <w:lang w:val="tr-TR"/>
        </w:rPr>
        <w:t>(Avrupa Değerlendirme Belgesi)</w:t>
      </w:r>
      <w:r w:rsidR="00EF2ADA">
        <w:rPr>
          <w:rFonts w:ascii="Times New Roman" w:hAnsi="Times New Roman" w:cs="Times New Roman"/>
          <w:sz w:val="22"/>
          <w:lang w:val="tr-TR"/>
        </w:rPr>
        <w:t xml:space="preserve"> </w:t>
      </w:r>
      <w:r w:rsidR="00EF2ADA" w:rsidRPr="002827C7">
        <w:rPr>
          <w:rFonts w:ascii="Times New Roman" w:hAnsi="Times New Roman" w:cs="Times New Roman"/>
          <w:b/>
          <w:bCs/>
          <w:sz w:val="22"/>
          <w:lang w:val="tr-TR"/>
        </w:rPr>
        <w:t>numaralı</w:t>
      </w:r>
      <w:r w:rsidR="00EF2ADA">
        <w:rPr>
          <w:rFonts w:ascii="Times New Roman" w:hAnsi="Times New Roman" w:cs="Times New Roman"/>
          <w:sz w:val="22"/>
          <w:lang w:val="tr-TR"/>
        </w:rPr>
        <w:t xml:space="preserve"> </w:t>
      </w:r>
      <w:r w:rsidR="00B93038" w:rsidRPr="007A02AB">
        <w:rPr>
          <w:rFonts w:ascii="Times New Roman" w:hAnsi="Times New Roman" w:cs="Times New Roman"/>
          <w:b/>
          <w:sz w:val="22"/>
          <w:lang w:val="tr-TR"/>
        </w:rPr>
        <w:t>ETA (Avrupa Teknik Değerlendirmesi)</w:t>
      </w:r>
      <w:r w:rsidR="00B93038" w:rsidRPr="007A02AB">
        <w:rPr>
          <w:rFonts w:ascii="Times New Roman" w:hAnsi="Times New Roman" w:cs="Times New Roman"/>
          <w:sz w:val="22"/>
          <w:lang w:val="tr-TR"/>
        </w:rPr>
        <w:t xml:space="preserve"> belgesine sahip olmalıdır.</w:t>
      </w:r>
      <w:r w:rsidR="00086F63" w:rsidRPr="007A02AB">
        <w:rPr>
          <w:rFonts w:ascii="Times New Roman" w:hAnsi="Times New Roman" w:cs="Times New Roman"/>
          <w:sz w:val="22"/>
          <w:lang w:val="tr-TR"/>
        </w:rPr>
        <w:t xml:space="preserve"> </w:t>
      </w:r>
      <w:r w:rsidR="003227CC" w:rsidRPr="007A02AB">
        <w:rPr>
          <w:rFonts w:ascii="Times New Roman" w:hAnsi="Times New Roman" w:cs="Times New Roman"/>
          <w:sz w:val="22"/>
          <w:lang w:val="tr-TR"/>
        </w:rPr>
        <w:t xml:space="preserve">ETA belgesinde </w:t>
      </w:r>
      <w:r w:rsidR="003227CC" w:rsidRPr="007A02AB">
        <w:rPr>
          <w:rFonts w:ascii="Times New Roman" w:hAnsi="Times New Roman" w:cs="Times New Roman"/>
          <w:b/>
          <w:sz w:val="22"/>
          <w:lang w:val="tr-TR"/>
        </w:rPr>
        <w:t>“sismik onay”</w:t>
      </w:r>
      <w:r w:rsidR="003227CC" w:rsidRPr="007A02AB">
        <w:rPr>
          <w:rFonts w:ascii="Times New Roman" w:hAnsi="Times New Roman" w:cs="Times New Roman"/>
          <w:sz w:val="22"/>
          <w:lang w:val="tr-TR"/>
        </w:rPr>
        <w:t xml:space="preserve"> ve </w:t>
      </w:r>
      <w:r w:rsidR="003227CC" w:rsidRPr="007A02AB">
        <w:rPr>
          <w:rFonts w:ascii="Times New Roman" w:hAnsi="Times New Roman" w:cs="Times New Roman"/>
          <w:b/>
          <w:sz w:val="22"/>
          <w:lang w:val="tr-TR"/>
        </w:rPr>
        <w:t>“yangın onayı”</w:t>
      </w:r>
      <w:r w:rsidR="003227CC" w:rsidRPr="007A02AB">
        <w:rPr>
          <w:rFonts w:ascii="Times New Roman" w:hAnsi="Times New Roman" w:cs="Times New Roman"/>
          <w:sz w:val="22"/>
          <w:lang w:val="tr-TR"/>
        </w:rPr>
        <w:t xml:space="preserve"> bulunmalıdır.</w:t>
      </w:r>
    </w:p>
    <w:p w14:paraId="3B44D87C" w14:textId="5B0076D9" w:rsidR="0014515C" w:rsidRDefault="00740D86" w:rsidP="00B93038">
      <w:pPr>
        <w:spacing w:afterLines="60" w:after="144"/>
        <w:jc w:val="both"/>
        <w:rPr>
          <w:rFonts w:ascii="Times New Roman" w:hAnsi="Times New Roman" w:cs="Times New Roman"/>
          <w:sz w:val="22"/>
          <w:lang w:val="tr-TR"/>
        </w:rPr>
      </w:pPr>
      <w:r>
        <w:rPr>
          <w:rFonts w:ascii="Times New Roman" w:hAnsi="Times New Roman" w:cs="Times New Roman"/>
          <w:sz w:val="22"/>
          <w:lang w:val="tr-TR"/>
        </w:rPr>
        <w:t xml:space="preserve">Örnek ürün: HILTI HIT RE 500 V4, HILTI HIT HY 200 </w:t>
      </w:r>
      <w:r w:rsidR="00E065FA">
        <w:rPr>
          <w:rFonts w:ascii="Times New Roman" w:hAnsi="Times New Roman" w:cs="Times New Roman"/>
          <w:sz w:val="22"/>
          <w:lang w:val="tr-TR"/>
        </w:rPr>
        <w:t>V3</w:t>
      </w:r>
    </w:p>
    <w:p w14:paraId="257058C2" w14:textId="72F72E3D" w:rsidR="0014515C" w:rsidRDefault="000F771B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rFonts w:ascii="Times New Roman" w:hAnsi="Times New Roman" w:cs="Times New Roman"/>
          <w:sz w:val="22"/>
          <w:lang w:val="tr-TR"/>
        </w:rPr>
        <w:t xml:space="preserve">Kolon, kiriş ve perde gibi yapısal elemanlarda güçlendirme amaçlı </w:t>
      </w:r>
      <w:r w:rsidRPr="00892D0F">
        <w:rPr>
          <w:rFonts w:ascii="Times New Roman" w:hAnsi="Times New Roman" w:cs="Times New Roman"/>
          <w:b/>
          <w:bCs/>
          <w:sz w:val="22"/>
          <w:lang w:val="tr-TR"/>
        </w:rPr>
        <w:t>mantolama (beton kesit kalınlaştırma)</w:t>
      </w:r>
      <w:r>
        <w:rPr>
          <w:rFonts w:ascii="Times New Roman" w:hAnsi="Times New Roman" w:cs="Times New Roman"/>
          <w:sz w:val="22"/>
          <w:lang w:val="tr-TR"/>
        </w:rPr>
        <w:t xml:space="preserve"> uygulamaları için </w:t>
      </w:r>
      <w:r w:rsidR="00A33624">
        <w:rPr>
          <w:rFonts w:ascii="Times New Roman" w:hAnsi="Times New Roman" w:cs="Times New Roman"/>
          <w:sz w:val="22"/>
          <w:lang w:val="tr-TR"/>
        </w:rPr>
        <w:t xml:space="preserve">kullanılacak kimyasal ya da mekanik dübeller </w:t>
      </w:r>
      <w:r w:rsidR="00FC6C26" w:rsidRPr="00FC6C26">
        <w:rPr>
          <w:rFonts w:ascii="Times New Roman" w:hAnsi="Times New Roman" w:cs="Times New Roman"/>
          <w:b/>
          <w:bCs/>
          <w:sz w:val="22"/>
          <w:lang w:val="tr-TR"/>
        </w:rPr>
        <w:t>332347</w:t>
      </w:r>
      <w:r w:rsidR="00945499">
        <w:rPr>
          <w:rFonts w:ascii="Times New Roman" w:hAnsi="Times New Roman" w:cs="Times New Roman"/>
          <w:b/>
          <w:bCs/>
          <w:sz w:val="22"/>
          <w:lang w:val="tr-TR"/>
        </w:rPr>
        <w:t xml:space="preserve"> </w:t>
      </w:r>
      <w:r w:rsidR="00945499" w:rsidRPr="00EF2ADA">
        <w:rPr>
          <w:rFonts w:ascii="Times New Roman" w:hAnsi="Times New Roman" w:cs="Times New Roman"/>
          <w:b/>
          <w:bCs/>
          <w:sz w:val="22"/>
          <w:lang w:val="tr-TR"/>
        </w:rPr>
        <w:t>(Avrupa Değerlendirme Belgesi)</w:t>
      </w:r>
      <w:r w:rsidR="00945499">
        <w:rPr>
          <w:rFonts w:ascii="Times New Roman" w:hAnsi="Times New Roman" w:cs="Times New Roman"/>
          <w:sz w:val="22"/>
          <w:lang w:val="tr-TR"/>
        </w:rPr>
        <w:t xml:space="preserve"> </w:t>
      </w:r>
      <w:r w:rsidR="00945499" w:rsidRPr="002827C7">
        <w:rPr>
          <w:rFonts w:ascii="Times New Roman" w:hAnsi="Times New Roman" w:cs="Times New Roman"/>
          <w:b/>
          <w:bCs/>
          <w:sz w:val="22"/>
          <w:lang w:val="tr-TR"/>
        </w:rPr>
        <w:t xml:space="preserve">numaralı </w:t>
      </w:r>
      <w:r w:rsidR="00945499" w:rsidRPr="007A02AB">
        <w:rPr>
          <w:rFonts w:ascii="Times New Roman" w:hAnsi="Times New Roman" w:cs="Times New Roman"/>
          <w:b/>
          <w:sz w:val="22"/>
          <w:lang w:val="tr-TR"/>
        </w:rPr>
        <w:t>ETA (Avrupa Teknik Değerlendirmesi</w:t>
      </w:r>
      <w:r w:rsidR="00945499">
        <w:rPr>
          <w:rFonts w:ascii="Times New Roman" w:hAnsi="Times New Roman" w:cs="Times New Roman"/>
          <w:b/>
          <w:sz w:val="22"/>
          <w:lang w:val="tr-TR"/>
        </w:rPr>
        <w:t>)</w:t>
      </w:r>
      <w:r w:rsidR="00945499" w:rsidRPr="00A33624">
        <w:rPr>
          <w:rFonts w:ascii="Times New Roman" w:hAnsi="Times New Roman" w:cs="Times New Roman"/>
          <w:bCs/>
          <w:sz w:val="22"/>
          <w:lang w:val="tr-TR"/>
        </w:rPr>
        <w:t xml:space="preserve"> onay belgesine sahip olmalıdır</w:t>
      </w:r>
      <w:r w:rsidR="00945499">
        <w:rPr>
          <w:rFonts w:ascii="Times New Roman" w:hAnsi="Times New Roman" w:cs="Times New Roman"/>
          <w:b/>
          <w:sz w:val="22"/>
          <w:lang w:val="tr-TR"/>
        </w:rPr>
        <w:t>.</w:t>
      </w:r>
      <w:r w:rsidR="00313B61">
        <w:rPr>
          <w:rFonts w:ascii="Times New Roman" w:hAnsi="Times New Roman" w:cs="Times New Roman"/>
          <w:b/>
          <w:sz w:val="22"/>
          <w:lang w:val="tr-TR"/>
        </w:rPr>
        <w:t xml:space="preserve"> </w:t>
      </w:r>
      <w:r w:rsidR="00416AB8">
        <w:rPr>
          <w:rFonts w:ascii="Times New Roman" w:hAnsi="Times New Roman" w:cs="Times New Roman"/>
          <w:bCs/>
          <w:sz w:val="22"/>
          <w:lang w:val="tr-TR"/>
        </w:rPr>
        <w:t>Kesit kalınlaştır</w:t>
      </w:r>
      <w:r w:rsidR="00C871DD">
        <w:rPr>
          <w:rFonts w:ascii="Times New Roman" w:hAnsi="Times New Roman" w:cs="Times New Roman"/>
          <w:bCs/>
          <w:sz w:val="22"/>
          <w:lang w:val="tr-TR"/>
        </w:rPr>
        <w:t>ma</w:t>
      </w:r>
      <w:r w:rsidR="00416AB8">
        <w:rPr>
          <w:rFonts w:ascii="Times New Roman" w:hAnsi="Times New Roman" w:cs="Times New Roman"/>
          <w:bCs/>
          <w:sz w:val="22"/>
          <w:lang w:val="tr-TR"/>
        </w:rPr>
        <w:t xml:space="preserve"> için ilgili hesaplamalar </w:t>
      </w:r>
      <w:r w:rsidR="00C02E87">
        <w:rPr>
          <w:rFonts w:ascii="Times New Roman" w:hAnsi="Times New Roman" w:cs="Times New Roman"/>
          <w:bCs/>
          <w:sz w:val="22"/>
          <w:lang w:val="tr-TR"/>
        </w:rPr>
        <w:t>( iki beton kesitinin birlikte çalışması</w:t>
      </w:r>
      <w:r w:rsidR="004D7568">
        <w:rPr>
          <w:rFonts w:ascii="Times New Roman" w:hAnsi="Times New Roman" w:cs="Times New Roman"/>
          <w:bCs/>
          <w:sz w:val="22"/>
          <w:lang w:val="tr-TR"/>
        </w:rPr>
        <w:t xml:space="preserve">) </w:t>
      </w:r>
      <w:r w:rsidR="004D7568" w:rsidRPr="007142B9">
        <w:rPr>
          <w:rFonts w:ascii="Times New Roman" w:hAnsi="Times New Roman" w:cs="Times New Roman"/>
          <w:b/>
          <w:sz w:val="22"/>
          <w:lang w:val="tr-TR"/>
        </w:rPr>
        <w:t xml:space="preserve">EOTA TR 066 </w:t>
      </w:r>
      <w:r w:rsidR="007142B9" w:rsidRPr="007142B9">
        <w:rPr>
          <w:rFonts w:ascii="Times New Roman" w:hAnsi="Times New Roman" w:cs="Times New Roman"/>
          <w:b/>
          <w:sz w:val="22"/>
          <w:lang w:val="tr-TR"/>
        </w:rPr>
        <w:t>(</w:t>
      </w:r>
      <w:r w:rsidR="00AE0BED" w:rsidRPr="007142B9">
        <w:rPr>
          <w:rFonts w:ascii="Times New Roman" w:hAnsi="Times New Roman" w:cs="Times New Roman"/>
          <w:b/>
          <w:sz w:val="22"/>
          <w:lang w:val="tr-TR"/>
        </w:rPr>
        <w:t>Design and requirements for construction works of post-installed shear connection for two concrete layers</w:t>
      </w:r>
      <w:r w:rsidR="007142B9" w:rsidRPr="007142B9">
        <w:rPr>
          <w:rFonts w:ascii="Times New Roman" w:hAnsi="Times New Roman" w:cs="Times New Roman"/>
          <w:b/>
          <w:sz w:val="22"/>
          <w:lang w:val="tr-TR"/>
        </w:rPr>
        <w:t>)</w:t>
      </w:r>
      <w:r w:rsidR="00AE0BED" w:rsidRPr="007142B9">
        <w:rPr>
          <w:rFonts w:ascii="Times New Roman" w:hAnsi="Times New Roman" w:cs="Times New Roman"/>
          <w:bCs/>
          <w:sz w:val="22"/>
          <w:lang w:val="tr-TR"/>
        </w:rPr>
        <w:t xml:space="preserve"> hesap yöntemine uygun olarak </w:t>
      </w:r>
      <w:r w:rsidR="004D7568" w:rsidRPr="007142B9">
        <w:rPr>
          <w:rFonts w:ascii="Times New Roman" w:hAnsi="Times New Roman" w:cs="Times New Roman"/>
          <w:bCs/>
          <w:sz w:val="22"/>
          <w:lang w:val="tr-TR"/>
        </w:rPr>
        <w:t>hesap</w:t>
      </w:r>
      <w:r w:rsidR="00D93C12" w:rsidRPr="007142B9">
        <w:rPr>
          <w:rFonts w:ascii="Times New Roman" w:hAnsi="Times New Roman" w:cs="Times New Roman"/>
          <w:bCs/>
          <w:sz w:val="22"/>
          <w:lang w:val="tr-TR"/>
        </w:rPr>
        <w:t>lanmalıdır.</w:t>
      </w:r>
    </w:p>
    <w:p w14:paraId="41E11D50" w14:textId="0CD78390" w:rsidR="006A2AF7" w:rsidRPr="007A02AB" w:rsidRDefault="006A2AF7" w:rsidP="00B93038">
      <w:pPr>
        <w:spacing w:afterLines="60" w:after="144"/>
        <w:jc w:val="both"/>
        <w:rPr>
          <w:rFonts w:ascii="Times New Roman" w:hAnsi="Times New Roman" w:cs="Times New Roman"/>
          <w:sz w:val="22"/>
          <w:lang w:val="tr-TR"/>
        </w:rPr>
      </w:pPr>
      <w:r>
        <w:rPr>
          <w:rFonts w:ascii="Times New Roman" w:hAnsi="Times New Roman" w:cs="Times New Roman"/>
          <w:b/>
          <w:sz w:val="22"/>
          <w:lang w:val="tr-TR"/>
        </w:rPr>
        <w:t xml:space="preserve">Örnek Ürün: </w:t>
      </w:r>
      <w:r>
        <w:rPr>
          <w:rFonts w:ascii="Times New Roman" w:hAnsi="Times New Roman" w:cs="Times New Roman"/>
          <w:sz w:val="22"/>
          <w:lang w:val="tr-TR"/>
        </w:rPr>
        <w:t xml:space="preserve">HILTI HIT RE 500 V4, </w:t>
      </w:r>
      <w:r w:rsidR="00B25161">
        <w:rPr>
          <w:rFonts w:ascii="Times New Roman" w:hAnsi="Times New Roman" w:cs="Times New Roman"/>
          <w:sz w:val="22"/>
          <w:lang w:val="tr-TR"/>
        </w:rPr>
        <w:t>HILTI HIT HY 200</w:t>
      </w:r>
      <w:r w:rsidR="00E065FA">
        <w:rPr>
          <w:rFonts w:ascii="Times New Roman" w:hAnsi="Times New Roman" w:cs="Times New Roman"/>
          <w:sz w:val="22"/>
          <w:lang w:val="tr-TR"/>
        </w:rPr>
        <w:t xml:space="preserve"> V3</w:t>
      </w:r>
      <w:r w:rsidR="00B25161">
        <w:rPr>
          <w:rFonts w:ascii="Times New Roman" w:hAnsi="Times New Roman" w:cs="Times New Roman"/>
          <w:sz w:val="22"/>
          <w:lang w:val="tr-TR"/>
        </w:rPr>
        <w:t xml:space="preserve">, </w:t>
      </w:r>
      <w:r w:rsidR="00B25161" w:rsidRPr="00B25161">
        <w:rPr>
          <w:rFonts w:ascii="Times New Roman" w:hAnsi="Times New Roman" w:cs="Times New Roman"/>
          <w:sz w:val="22"/>
          <w:lang w:val="tr-TR"/>
        </w:rPr>
        <w:t>HILTI HIT HY 170</w:t>
      </w:r>
      <w:r w:rsidR="00B25161">
        <w:rPr>
          <w:rFonts w:ascii="Times New Roman" w:hAnsi="Times New Roman" w:cs="Times New Roman"/>
          <w:sz w:val="22"/>
          <w:lang w:val="tr-TR"/>
        </w:rPr>
        <w:t>, HUS 4</w:t>
      </w:r>
      <w:r w:rsidR="00E065FA">
        <w:rPr>
          <w:rFonts w:ascii="Times New Roman" w:hAnsi="Times New Roman" w:cs="Times New Roman"/>
          <w:sz w:val="22"/>
          <w:lang w:val="tr-TR"/>
        </w:rPr>
        <w:t xml:space="preserve"> H</w:t>
      </w:r>
      <w:r w:rsidR="00C871DD">
        <w:rPr>
          <w:rFonts w:ascii="Times New Roman" w:hAnsi="Times New Roman" w:cs="Times New Roman"/>
          <w:sz w:val="22"/>
          <w:lang w:val="tr-TR"/>
        </w:rPr>
        <w:t>,</w:t>
      </w:r>
      <w:r w:rsidR="00B25161">
        <w:rPr>
          <w:rFonts w:ascii="Times New Roman" w:hAnsi="Times New Roman" w:cs="Times New Roman"/>
          <w:sz w:val="22"/>
          <w:lang w:val="tr-TR"/>
        </w:rPr>
        <w:t xml:space="preserve"> HAS-U</w:t>
      </w:r>
    </w:p>
    <w:p w14:paraId="60E600F6" w14:textId="77777777" w:rsidR="00B93038" w:rsidRPr="007A02AB" w:rsidRDefault="00B93038" w:rsidP="00B93038">
      <w:pPr>
        <w:pStyle w:val="Default"/>
        <w:spacing w:afterLines="60" w:after="144"/>
        <w:jc w:val="both"/>
        <w:rPr>
          <w:rFonts w:ascii="Times New Roman" w:hAnsi="Times New Roman" w:cs="Times New Roman"/>
          <w:sz w:val="22"/>
          <w:szCs w:val="22"/>
        </w:rPr>
      </w:pPr>
      <w:r w:rsidRPr="007A02AB">
        <w:rPr>
          <w:rFonts w:ascii="Times New Roman" w:hAnsi="Times New Roman" w:cs="Times New Roman"/>
          <w:sz w:val="22"/>
          <w:szCs w:val="22"/>
        </w:rPr>
        <w:t>Filiz ekiminde kullanılacak kimyasal ankrajın ETA belgesinde aşağıdaki ifadelere dikkat edilmelidir.</w:t>
      </w:r>
    </w:p>
    <w:p w14:paraId="72BFD2DA" w14:textId="77777777" w:rsidR="00B93038" w:rsidRPr="007A02AB" w:rsidRDefault="00B93038" w:rsidP="00B93038">
      <w:pPr>
        <w:pStyle w:val="Default"/>
        <w:numPr>
          <w:ilvl w:val="0"/>
          <w:numId w:val="2"/>
        </w:numPr>
        <w:spacing w:afterLines="60" w:after="144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A02AB">
        <w:rPr>
          <w:rFonts w:ascii="Times New Roman" w:hAnsi="Times New Roman" w:cs="Times New Roman"/>
          <w:sz w:val="22"/>
          <w:szCs w:val="22"/>
        </w:rPr>
        <w:t xml:space="preserve">Ürün sınıfı </w:t>
      </w:r>
      <w:r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(Product family) </w:t>
      </w:r>
      <w:r w:rsidRPr="007A02AB">
        <w:rPr>
          <w:rFonts w:ascii="Times New Roman" w:hAnsi="Times New Roman" w:cs="Times New Roman"/>
          <w:sz w:val="22"/>
          <w:szCs w:val="22"/>
        </w:rPr>
        <w:t xml:space="preserve">tanımlamasında </w:t>
      </w:r>
      <w:r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“rebar connection” </w:t>
      </w:r>
      <w:r w:rsidRPr="007A02AB">
        <w:rPr>
          <w:rFonts w:ascii="Times New Roman" w:hAnsi="Times New Roman" w:cs="Times New Roman"/>
          <w:sz w:val="22"/>
          <w:szCs w:val="22"/>
        </w:rPr>
        <w:t xml:space="preserve">(filiz ekimi) ifadesi geçmelidir. </w:t>
      </w:r>
    </w:p>
    <w:p w14:paraId="4408EE34" w14:textId="1E4C998F" w:rsidR="00B93038" w:rsidRPr="007A02AB" w:rsidRDefault="00312567" w:rsidP="00B93038">
      <w:pPr>
        <w:pStyle w:val="Default"/>
        <w:numPr>
          <w:ilvl w:val="0"/>
          <w:numId w:val="2"/>
        </w:numPr>
        <w:spacing w:afterLines="60" w:after="144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A02AB">
        <w:rPr>
          <w:rFonts w:ascii="Times New Roman" w:hAnsi="Times New Roman" w:cs="Times New Roman"/>
          <w:bCs/>
          <w:iCs/>
          <w:sz w:val="22"/>
          <w:szCs w:val="22"/>
        </w:rPr>
        <w:t xml:space="preserve">“Sismik onay” </w:t>
      </w:r>
      <w:r w:rsidR="007E2F0F" w:rsidRPr="007A02AB">
        <w:rPr>
          <w:rFonts w:ascii="Times New Roman" w:hAnsi="Times New Roman" w:cs="Times New Roman"/>
          <w:bCs/>
          <w:iCs/>
          <w:sz w:val="22"/>
          <w:szCs w:val="22"/>
        </w:rPr>
        <w:t>kontrolü</w:t>
      </w:r>
      <w:r w:rsidRPr="007A02AB">
        <w:rPr>
          <w:rFonts w:ascii="Times New Roman" w:hAnsi="Times New Roman" w:cs="Times New Roman"/>
          <w:bCs/>
          <w:iCs/>
          <w:sz w:val="22"/>
          <w:szCs w:val="22"/>
        </w:rPr>
        <w:t xml:space="preserve"> için;</w:t>
      </w:r>
      <w:r w:rsidR="00B93038" w:rsidRPr="007A02AB">
        <w:rPr>
          <w:rFonts w:ascii="Times New Roman" w:hAnsi="Times New Roman" w:cs="Times New Roman"/>
          <w:bCs/>
          <w:iCs/>
          <w:sz w:val="22"/>
          <w:szCs w:val="22"/>
        </w:rPr>
        <w:t>“</w:t>
      </w:r>
      <w:r w:rsidR="00B93038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Specification of Intended Use” </w:t>
      </w:r>
      <w:r w:rsidR="00B93038" w:rsidRPr="007A02AB">
        <w:rPr>
          <w:rFonts w:ascii="Times New Roman" w:hAnsi="Times New Roman" w:cs="Times New Roman"/>
          <w:sz w:val="22"/>
          <w:szCs w:val="22"/>
        </w:rPr>
        <w:t xml:space="preserve">başlığı altında maruz kalabildiği yük sınıfları altında </w:t>
      </w:r>
      <w:r w:rsidR="00B93038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>“Seismic loading”</w:t>
      </w:r>
      <w:r w:rsidR="009153AD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>(Sismik yüklemeler)</w:t>
      </w:r>
      <w:r w:rsidR="00B93038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="00B93038" w:rsidRPr="007A02AB">
        <w:rPr>
          <w:rFonts w:ascii="Times New Roman" w:hAnsi="Times New Roman" w:cs="Times New Roman"/>
          <w:sz w:val="22"/>
          <w:szCs w:val="22"/>
        </w:rPr>
        <w:t xml:space="preserve">ifadesi yer almalıdır. Sadece </w:t>
      </w:r>
      <w:r w:rsidR="00B93038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“Static and quasi static loading” </w:t>
      </w:r>
      <w:r w:rsidR="00B93038" w:rsidRPr="007A02AB">
        <w:rPr>
          <w:rFonts w:ascii="Times New Roman" w:hAnsi="Times New Roman" w:cs="Times New Roman"/>
          <w:sz w:val="22"/>
          <w:szCs w:val="22"/>
        </w:rPr>
        <w:t>ifadesi geçen kimyasal ankrajlar kullanılamaz.</w:t>
      </w:r>
    </w:p>
    <w:p w14:paraId="0C4BA6F0" w14:textId="5F719941" w:rsidR="00312567" w:rsidRPr="007A02AB" w:rsidRDefault="00086F63" w:rsidP="00312567">
      <w:pPr>
        <w:pStyle w:val="Default"/>
        <w:numPr>
          <w:ilvl w:val="0"/>
          <w:numId w:val="2"/>
        </w:numPr>
        <w:spacing w:afterLines="60" w:after="144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A02AB">
        <w:rPr>
          <w:rFonts w:ascii="Times New Roman" w:hAnsi="Times New Roman" w:cs="Times New Roman"/>
          <w:bCs/>
          <w:iCs/>
          <w:sz w:val="22"/>
          <w:szCs w:val="22"/>
        </w:rPr>
        <w:t>“Yangın onayı” kontrolü için;</w:t>
      </w:r>
      <w:r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="00312567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“Specification of Intended Use” </w:t>
      </w:r>
      <w:r w:rsidR="00312567" w:rsidRPr="007A02AB">
        <w:rPr>
          <w:rFonts w:ascii="Times New Roman" w:hAnsi="Times New Roman" w:cs="Times New Roman"/>
          <w:sz w:val="22"/>
          <w:szCs w:val="22"/>
        </w:rPr>
        <w:t xml:space="preserve">başlığı altında maruz kalabildiği yük sınıfları altında </w:t>
      </w:r>
      <w:r w:rsidR="00312567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>“Fire exposure”</w:t>
      </w:r>
      <w:r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>(Yangın maruziyeti)</w:t>
      </w:r>
      <w:r w:rsidR="00312567" w:rsidRPr="007A02A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7A02AB">
        <w:rPr>
          <w:rFonts w:ascii="Times New Roman" w:hAnsi="Times New Roman" w:cs="Times New Roman"/>
          <w:sz w:val="22"/>
          <w:szCs w:val="22"/>
        </w:rPr>
        <w:t>ifadesi yer almalıdır.</w:t>
      </w:r>
    </w:p>
    <w:p w14:paraId="2411305A" w14:textId="27B3D09F" w:rsidR="00022170" w:rsidRDefault="00022170" w:rsidP="00022170">
      <w:pPr>
        <w:pStyle w:val="Default"/>
        <w:numPr>
          <w:ilvl w:val="0"/>
          <w:numId w:val="2"/>
        </w:numPr>
        <w:spacing w:afterLines="60" w:after="14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02AB">
        <w:rPr>
          <w:rFonts w:ascii="Times New Roman" w:hAnsi="Times New Roman" w:cs="Times New Roman"/>
          <w:color w:val="000000" w:themeColor="text1"/>
          <w:sz w:val="22"/>
          <w:szCs w:val="22"/>
        </w:rPr>
        <w:t>Kimyasal ankrajın; karotla delik açılması, başüstü uygulamaları, ıslak delik uygulamaları gibi özel durumlardaki uygunluğu ETA belgesinde belirtilmelidir.</w:t>
      </w:r>
    </w:p>
    <w:p w14:paraId="529ADC5A" w14:textId="77777777" w:rsidR="00A03785" w:rsidRDefault="00A03785" w:rsidP="009B6DE4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14:paraId="405A33EA" w14:textId="5F867298" w:rsidR="00CF16BC" w:rsidRPr="003C2E23" w:rsidRDefault="00A03785" w:rsidP="009B6DE4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lang w:val="tr-TR"/>
        </w:rPr>
      </w:pPr>
      <w:bookmarkStart w:id="1" w:name="_Hlk115960038"/>
      <w:r w:rsidRPr="003C2E23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Zayiatın önlenebilmesi adına; 500 ml ve üzeri hacimli, folyo ambalajlı ürünler kullanılacaktır. </w:t>
      </w:r>
    </w:p>
    <w:p w14:paraId="0BCD8B68" w14:textId="22EA1273" w:rsidR="009B6DE4" w:rsidRPr="003C2E23" w:rsidRDefault="00CF16BC" w:rsidP="009B6DE4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lang w:val="tr-TR"/>
        </w:rPr>
      </w:pPr>
      <w:bookmarkStart w:id="2" w:name="_Hlk64375307"/>
      <w:bookmarkEnd w:id="1"/>
      <w:r w:rsidRPr="003C2E23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Açılan deliğe uygun miktarda kimyasal enjekte edilmesi </w:t>
      </w:r>
      <w:r w:rsidR="00175551" w:rsidRPr="003C2E23">
        <w:rPr>
          <w:rFonts w:ascii="Times New Roman" w:hAnsi="Times New Roman" w:cs="Times New Roman"/>
          <w:color w:val="000000" w:themeColor="text1"/>
          <w:sz w:val="22"/>
          <w:lang w:val="tr-TR"/>
        </w:rPr>
        <w:t>statik açıdan sistemin sürekliliğini sağlamak adına önem arz etmektedir. Bundan dolayı elektronik mililitre ayarlı epoksi tabancasının kullanımı önerilmektedir.</w:t>
      </w:r>
    </w:p>
    <w:bookmarkEnd w:id="2"/>
    <w:p w14:paraId="1C5550CC" w14:textId="48BC6463" w:rsidR="00284B51" w:rsidRDefault="00284B51">
      <w:pPr>
        <w:spacing w:after="160" w:line="259" w:lineRule="auto"/>
        <w:rPr>
          <w:rFonts w:ascii="Times New Roman" w:hAnsi="Times New Roman" w:cs="Times New Roman"/>
          <w:sz w:val="22"/>
          <w:lang w:val="tr-TR"/>
        </w:rPr>
      </w:pPr>
      <w:r>
        <w:rPr>
          <w:rFonts w:ascii="Times New Roman" w:hAnsi="Times New Roman" w:cs="Times New Roman"/>
          <w:sz w:val="22"/>
          <w:lang w:val="tr-TR"/>
        </w:rPr>
        <w:br w:type="page"/>
      </w:r>
    </w:p>
    <w:p w14:paraId="097A2FF3" w14:textId="130D396E" w:rsidR="00D30367" w:rsidRPr="00284B51" w:rsidRDefault="00F6563B" w:rsidP="00683EB4">
      <w:pPr>
        <w:pStyle w:val="Heading1"/>
        <w:numPr>
          <w:ilvl w:val="0"/>
          <w:numId w:val="9"/>
        </w:numPr>
      </w:pPr>
      <w:r w:rsidRPr="00284B51">
        <w:lastRenderedPageBreak/>
        <w:t>TASARIM ESASLARI</w:t>
      </w:r>
    </w:p>
    <w:p w14:paraId="377A3CEF" w14:textId="5D1404F9" w:rsidR="00734B0F" w:rsidRPr="00D30367" w:rsidRDefault="007F4137" w:rsidP="00591327">
      <w:pPr>
        <w:pStyle w:val="ListParagraph"/>
        <w:numPr>
          <w:ilvl w:val="0"/>
          <w:numId w:val="8"/>
        </w:numPr>
        <w:spacing w:afterLines="60" w:after="144"/>
        <w:jc w:val="both"/>
        <w:rPr>
          <w:rFonts w:ascii="Times New Roman" w:hAnsi="Times New Roman" w:cs="Times New Roman"/>
          <w:sz w:val="22"/>
          <w:lang w:val="tr-TR"/>
        </w:rPr>
      </w:pPr>
      <w:r>
        <w:rPr>
          <w:rFonts w:ascii="Times New Roman" w:hAnsi="Times New Roman" w:cs="Times New Roman"/>
          <w:sz w:val="22"/>
          <w:lang w:val="tr-TR"/>
        </w:rPr>
        <w:t>Sonradan ek</w:t>
      </w:r>
      <w:r w:rsidR="002736B5">
        <w:rPr>
          <w:rFonts w:ascii="Times New Roman" w:hAnsi="Times New Roman" w:cs="Times New Roman"/>
          <w:sz w:val="22"/>
          <w:lang w:val="tr-TR"/>
        </w:rPr>
        <w:t>lenecek</w:t>
      </w:r>
      <w:r>
        <w:rPr>
          <w:rFonts w:ascii="Times New Roman" w:hAnsi="Times New Roman" w:cs="Times New Roman"/>
          <w:sz w:val="22"/>
          <w:lang w:val="tr-TR"/>
        </w:rPr>
        <w:t xml:space="preserve"> donatının, m</w:t>
      </w:r>
      <w:r w:rsidR="00591327">
        <w:rPr>
          <w:rFonts w:ascii="Times New Roman" w:hAnsi="Times New Roman" w:cs="Times New Roman"/>
          <w:sz w:val="22"/>
          <w:lang w:val="tr-TR"/>
        </w:rPr>
        <w:t>evcut betonarme içerisinde</w:t>
      </w:r>
      <w:r w:rsidR="002736B5">
        <w:rPr>
          <w:rFonts w:ascii="Times New Roman" w:hAnsi="Times New Roman" w:cs="Times New Roman"/>
          <w:sz w:val="22"/>
          <w:lang w:val="tr-TR"/>
        </w:rPr>
        <w:t xml:space="preserve">ki </w:t>
      </w:r>
      <w:r w:rsidR="002736B5" w:rsidRPr="002736B5">
        <w:rPr>
          <w:rFonts w:ascii="Times New Roman" w:hAnsi="Times New Roman" w:cs="Times New Roman"/>
          <w:sz w:val="22"/>
          <w:u w:val="single"/>
          <w:lang w:val="tr-TR"/>
        </w:rPr>
        <w:t>mevcut donatıya</w:t>
      </w:r>
      <w:r w:rsidR="00591327" w:rsidRPr="002736B5">
        <w:rPr>
          <w:rFonts w:ascii="Times New Roman" w:hAnsi="Times New Roman" w:cs="Times New Roman"/>
          <w:sz w:val="22"/>
          <w:u w:val="single"/>
          <w:lang w:val="tr-TR"/>
        </w:rPr>
        <w:t xml:space="preserve"> </w:t>
      </w:r>
      <w:r w:rsidR="00734B0F" w:rsidRPr="002736B5">
        <w:rPr>
          <w:rFonts w:ascii="Times New Roman" w:hAnsi="Times New Roman" w:cs="Times New Roman"/>
          <w:sz w:val="22"/>
          <w:u w:val="single"/>
          <w:lang w:val="tr-TR"/>
        </w:rPr>
        <w:t>bin</w:t>
      </w:r>
      <w:r w:rsidR="00734B0F" w:rsidRPr="00734B0F">
        <w:rPr>
          <w:rFonts w:ascii="Times New Roman" w:hAnsi="Times New Roman" w:cs="Times New Roman"/>
          <w:sz w:val="22"/>
          <w:u w:val="single"/>
          <w:lang w:val="tr-TR"/>
        </w:rPr>
        <w:t xml:space="preserve">dirme yapılıp kenetlenme </w:t>
      </w:r>
      <w:r w:rsidR="00734B0F" w:rsidRPr="005D0A60">
        <w:rPr>
          <w:rFonts w:ascii="Times New Roman" w:hAnsi="Times New Roman" w:cs="Times New Roman"/>
          <w:sz w:val="22"/>
          <w:u w:val="single"/>
          <w:lang w:val="tr-TR"/>
        </w:rPr>
        <w:t>sağla</w:t>
      </w:r>
      <w:r w:rsidR="002736B5" w:rsidRPr="005D0A60">
        <w:rPr>
          <w:rFonts w:ascii="Times New Roman" w:hAnsi="Times New Roman" w:cs="Times New Roman"/>
          <w:sz w:val="22"/>
          <w:u w:val="single"/>
          <w:lang w:val="tr-TR"/>
        </w:rPr>
        <w:t>nabildiği</w:t>
      </w:r>
      <w:r w:rsidR="00734B0F" w:rsidRPr="005D0A60">
        <w:rPr>
          <w:rFonts w:ascii="Times New Roman" w:hAnsi="Times New Roman" w:cs="Times New Roman"/>
          <w:sz w:val="22"/>
          <w:u w:val="single"/>
          <w:lang w:val="tr-TR"/>
        </w:rPr>
        <w:t xml:space="preserve"> </w:t>
      </w:r>
      <w:r w:rsidR="002736B5" w:rsidRPr="005D0A60">
        <w:rPr>
          <w:rFonts w:ascii="Times New Roman" w:hAnsi="Times New Roman" w:cs="Times New Roman"/>
          <w:sz w:val="22"/>
          <w:u w:val="single"/>
          <w:lang w:val="tr-TR"/>
        </w:rPr>
        <w:t>birleşimlerde</w:t>
      </w:r>
      <w:r w:rsidR="005D0A60">
        <w:rPr>
          <w:rFonts w:ascii="Times New Roman" w:hAnsi="Times New Roman" w:cs="Times New Roman"/>
          <w:sz w:val="22"/>
          <w:u w:val="single"/>
          <w:lang w:val="tr-TR"/>
        </w:rPr>
        <w:t>;</w:t>
      </w:r>
      <w:r w:rsidR="00734B0F">
        <w:rPr>
          <w:rFonts w:ascii="Times New Roman" w:hAnsi="Times New Roman" w:cs="Times New Roman"/>
          <w:sz w:val="22"/>
          <w:lang w:val="tr-TR"/>
        </w:rPr>
        <w:t xml:space="preserve"> </w:t>
      </w:r>
      <w:r w:rsidR="006C1848" w:rsidRPr="00591327">
        <w:rPr>
          <w:rFonts w:ascii="Times New Roman" w:hAnsi="Times New Roman" w:cs="Times New Roman"/>
          <w:sz w:val="22"/>
          <w:lang w:val="tr-TR"/>
        </w:rPr>
        <w:t>“</w:t>
      </w:r>
      <w:r w:rsidR="006C1848" w:rsidRPr="00591327">
        <w:rPr>
          <w:rFonts w:ascii="Times New Roman" w:hAnsi="Times New Roman" w:cs="Times New Roman"/>
          <w:b/>
          <w:sz w:val="22"/>
          <w:lang w:val="tr-TR"/>
        </w:rPr>
        <w:t>TS EN 1992-1-1</w:t>
      </w:r>
      <w:r w:rsidR="006C1848" w:rsidRPr="00591327">
        <w:rPr>
          <w:rFonts w:ascii="Times New Roman" w:hAnsi="Times New Roman" w:cs="Times New Roman"/>
          <w:sz w:val="22"/>
          <w:lang w:val="tr-TR"/>
        </w:rPr>
        <w:t xml:space="preserve"> </w:t>
      </w:r>
      <w:r w:rsidR="006C1848" w:rsidRPr="00591327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Genel kurallar ve binalara uygulanacak kurallar” </w:t>
      </w:r>
      <w:r w:rsidR="006C1848" w:rsidRPr="00591327">
        <w:rPr>
          <w:rFonts w:ascii="Times New Roman" w:hAnsi="Times New Roman" w:cs="Times New Roman"/>
          <w:sz w:val="22"/>
          <w:lang w:val="tr-TR"/>
        </w:rPr>
        <w:t>standardı</w:t>
      </w:r>
      <w:r w:rsidR="006C1848" w:rsidRPr="00591327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</w:t>
      </w:r>
      <w:r w:rsidR="006C241D">
        <w:rPr>
          <w:rFonts w:ascii="Times New Roman" w:hAnsi="Times New Roman" w:cs="Times New Roman"/>
          <w:color w:val="000000" w:themeColor="text1"/>
          <w:sz w:val="22"/>
          <w:lang w:val="tr-TR"/>
        </w:rPr>
        <w:t>(</w:t>
      </w:r>
      <w:r w:rsidR="00D30367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Kapsanan birleşim tipleri için </w:t>
      </w:r>
      <w:r w:rsidR="006C241D">
        <w:rPr>
          <w:rFonts w:ascii="Times New Roman" w:hAnsi="Times New Roman" w:cs="Times New Roman"/>
          <w:color w:val="000000" w:themeColor="text1"/>
          <w:sz w:val="22"/>
          <w:lang w:val="tr-TR"/>
        </w:rPr>
        <w:t>Bkz</w:t>
      </w:r>
      <w:r w:rsidR="002B179D">
        <w:rPr>
          <w:rFonts w:ascii="Times New Roman" w:hAnsi="Times New Roman" w:cs="Times New Roman"/>
          <w:color w:val="000000" w:themeColor="text1"/>
          <w:sz w:val="22"/>
          <w:lang w:val="tr-TR"/>
        </w:rPr>
        <w:t>.</w:t>
      </w:r>
      <w:r w:rsidR="006C241D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Tablo:1)</w:t>
      </w:r>
    </w:p>
    <w:p w14:paraId="41B90D5A" w14:textId="77777777" w:rsidR="00D30367" w:rsidRPr="00734B0F" w:rsidRDefault="00D30367" w:rsidP="00D30367">
      <w:pPr>
        <w:pStyle w:val="ListParagraph"/>
        <w:spacing w:afterLines="60" w:after="144"/>
        <w:ind w:left="780"/>
        <w:jc w:val="both"/>
        <w:rPr>
          <w:rFonts w:ascii="Times New Roman" w:hAnsi="Times New Roman" w:cs="Times New Roman"/>
          <w:sz w:val="22"/>
          <w:lang w:val="tr-TR"/>
        </w:rPr>
      </w:pPr>
    </w:p>
    <w:p w14:paraId="0486E44E" w14:textId="00958A0A" w:rsidR="00467626" w:rsidRPr="00284B51" w:rsidRDefault="00734B0F" w:rsidP="00467626">
      <w:pPr>
        <w:pStyle w:val="ListParagraph"/>
        <w:numPr>
          <w:ilvl w:val="0"/>
          <w:numId w:val="8"/>
        </w:numPr>
        <w:spacing w:afterLines="60" w:after="144"/>
        <w:jc w:val="both"/>
        <w:rPr>
          <w:rFonts w:ascii="Times New Roman" w:hAnsi="Times New Roman" w:cs="Times New Roman"/>
          <w:sz w:val="22"/>
          <w:lang w:val="tr-TR"/>
        </w:rPr>
      </w:pPr>
      <w:r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Mevcut betonarme içerisinde </w:t>
      </w:r>
      <w:r w:rsidRPr="005D0A60">
        <w:rPr>
          <w:rFonts w:ascii="Times New Roman" w:hAnsi="Times New Roman" w:cs="Times New Roman"/>
          <w:color w:val="000000" w:themeColor="text1"/>
          <w:sz w:val="22"/>
          <w:lang w:val="tr-TR"/>
        </w:rPr>
        <w:t>bindirme yapılacak donatı yoksa</w:t>
      </w:r>
      <w:r w:rsidR="00CD41A7" w:rsidRPr="005D0A60">
        <w:rPr>
          <w:rFonts w:ascii="Times New Roman" w:hAnsi="Times New Roman" w:cs="Times New Roman"/>
          <w:color w:val="000000" w:themeColor="text1"/>
          <w:sz w:val="22"/>
          <w:lang w:val="tr-TR"/>
        </w:rPr>
        <w:t>,</w:t>
      </w:r>
      <w:r w:rsidRPr="005D0A60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tüm moment aktaran birleşimler</w:t>
      </w:r>
      <w:r w:rsidR="005D0A60">
        <w:rPr>
          <w:rFonts w:ascii="Times New Roman" w:hAnsi="Times New Roman" w:cs="Times New Roman"/>
          <w:color w:val="000000" w:themeColor="text1"/>
          <w:sz w:val="22"/>
          <w:lang w:val="tr-TR"/>
        </w:rPr>
        <w:t>;</w:t>
      </w:r>
      <w:r w:rsidR="006C1848" w:rsidRPr="00591327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“</w:t>
      </w:r>
      <w:r w:rsidR="006C1848" w:rsidRPr="00591327">
        <w:rPr>
          <w:rFonts w:ascii="Times New Roman" w:hAnsi="Times New Roman" w:cs="Times New Roman"/>
          <w:b/>
          <w:color w:val="000000" w:themeColor="text1"/>
          <w:sz w:val="22"/>
          <w:lang w:val="tr-TR"/>
        </w:rPr>
        <w:t>EOTA TR0</w:t>
      </w:r>
      <w:r>
        <w:rPr>
          <w:rFonts w:ascii="Times New Roman" w:hAnsi="Times New Roman" w:cs="Times New Roman"/>
          <w:b/>
          <w:color w:val="000000" w:themeColor="text1"/>
          <w:sz w:val="22"/>
          <w:lang w:val="tr-TR"/>
        </w:rPr>
        <w:t>69</w:t>
      </w:r>
      <w:r w:rsidR="000B3711">
        <w:rPr>
          <w:rFonts w:ascii="Times New Roman" w:hAnsi="Times New Roman" w:cs="Times New Roman"/>
          <w:b/>
          <w:color w:val="000000" w:themeColor="text1"/>
          <w:sz w:val="22"/>
          <w:lang w:val="tr-TR"/>
        </w:rPr>
        <w:t>”</w:t>
      </w:r>
      <w:r w:rsidR="006C1848" w:rsidRPr="00591327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teknik raporuna göre </w:t>
      </w:r>
      <w:r w:rsidR="006C1848" w:rsidRPr="00591327">
        <w:rPr>
          <w:rFonts w:ascii="Times New Roman" w:hAnsi="Times New Roman" w:cs="Times New Roman"/>
          <w:sz w:val="22"/>
          <w:lang w:val="tr-TR"/>
        </w:rPr>
        <w:t xml:space="preserve">yapılacaktır. </w:t>
      </w:r>
      <w:r w:rsidR="00D30367">
        <w:rPr>
          <w:rFonts w:ascii="Times New Roman" w:hAnsi="Times New Roman" w:cs="Times New Roman"/>
          <w:color w:val="000000" w:themeColor="text1"/>
          <w:sz w:val="22"/>
          <w:lang w:val="tr-TR"/>
        </w:rPr>
        <w:t>(Kapsanan birleşim tipleri için Bkz</w:t>
      </w:r>
      <w:r w:rsidR="002B179D">
        <w:rPr>
          <w:rFonts w:ascii="Times New Roman" w:hAnsi="Times New Roman" w:cs="Times New Roman"/>
          <w:color w:val="000000" w:themeColor="text1"/>
          <w:sz w:val="22"/>
          <w:lang w:val="tr-TR"/>
        </w:rPr>
        <w:t>.</w:t>
      </w:r>
      <w:r w:rsidR="00D30367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Tablo:2)</w:t>
      </w:r>
    </w:p>
    <w:p w14:paraId="3A7B21E9" w14:textId="77777777" w:rsidR="00284B51" w:rsidRPr="00284B51" w:rsidRDefault="00284B51" w:rsidP="00284B51">
      <w:pPr>
        <w:pStyle w:val="ListParagraph"/>
        <w:rPr>
          <w:rFonts w:ascii="Times New Roman" w:hAnsi="Times New Roman" w:cs="Times New Roman"/>
          <w:sz w:val="22"/>
          <w:lang w:val="tr-TR"/>
        </w:rPr>
      </w:pPr>
    </w:p>
    <w:p w14:paraId="2A2FBE57" w14:textId="5FA68D81" w:rsidR="002B179D" w:rsidRPr="00284B51" w:rsidRDefault="00284B51" w:rsidP="002B179D">
      <w:pPr>
        <w:pStyle w:val="ListParagraph"/>
        <w:numPr>
          <w:ilvl w:val="0"/>
          <w:numId w:val="8"/>
        </w:numPr>
        <w:spacing w:afterLines="60" w:after="144"/>
        <w:jc w:val="both"/>
        <w:rPr>
          <w:rFonts w:ascii="Times New Roman" w:hAnsi="Times New Roman" w:cs="Times New Roman"/>
          <w:sz w:val="22"/>
          <w:lang w:val="tr-TR"/>
        </w:rPr>
      </w:pPr>
      <w:r>
        <w:rPr>
          <w:rFonts w:ascii="Times New Roman" w:hAnsi="Times New Roman" w:cs="Times New Roman"/>
          <w:sz w:val="22"/>
          <w:lang w:val="tr-TR"/>
        </w:rPr>
        <w:t xml:space="preserve">Betonarme kesitin kalınlaştırılması </w:t>
      </w:r>
      <w:r w:rsidR="000B3711">
        <w:rPr>
          <w:rFonts w:ascii="Times New Roman" w:hAnsi="Times New Roman" w:cs="Times New Roman"/>
          <w:sz w:val="22"/>
          <w:lang w:val="tr-TR"/>
        </w:rPr>
        <w:t>durumunda iki kesitin birlikte çalışması için ekilecek kesme elemanları</w:t>
      </w:r>
      <w:r w:rsidR="002B179D">
        <w:rPr>
          <w:rFonts w:ascii="Times New Roman" w:hAnsi="Times New Roman" w:cs="Times New Roman"/>
          <w:sz w:val="22"/>
          <w:lang w:val="tr-TR"/>
        </w:rPr>
        <w:t>;</w:t>
      </w:r>
      <w:r w:rsidR="000B3711">
        <w:rPr>
          <w:rFonts w:ascii="Times New Roman" w:hAnsi="Times New Roman" w:cs="Times New Roman"/>
          <w:sz w:val="22"/>
          <w:lang w:val="tr-TR"/>
        </w:rPr>
        <w:t xml:space="preserve"> </w:t>
      </w:r>
      <w:r w:rsidR="000B3711" w:rsidRPr="00591327">
        <w:rPr>
          <w:rFonts w:ascii="Times New Roman" w:hAnsi="Times New Roman" w:cs="Times New Roman"/>
          <w:color w:val="000000" w:themeColor="text1"/>
          <w:sz w:val="22"/>
          <w:lang w:val="tr-TR"/>
        </w:rPr>
        <w:t>“</w:t>
      </w:r>
      <w:r w:rsidR="000B3711" w:rsidRPr="00591327">
        <w:rPr>
          <w:rFonts w:ascii="Times New Roman" w:hAnsi="Times New Roman" w:cs="Times New Roman"/>
          <w:b/>
          <w:color w:val="000000" w:themeColor="text1"/>
          <w:sz w:val="22"/>
          <w:lang w:val="tr-TR"/>
        </w:rPr>
        <w:t>EOTA TR0</w:t>
      </w:r>
      <w:r w:rsidR="000B3711">
        <w:rPr>
          <w:rFonts w:ascii="Times New Roman" w:hAnsi="Times New Roman" w:cs="Times New Roman"/>
          <w:b/>
          <w:color w:val="000000" w:themeColor="text1"/>
          <w:sz w:val="22"/>
          <w:lang w:val="tr-TR"/>
        </w:rPr>
        <w:t>66”</w:t>
      </w:r>
      <w:r w:rsidR="002B179D">
        <w:rPr>
          <w:rFonts w:ascii="Times New Roman" w:hAnsi="Times New Roman" w:cs="Times New Roman"/>
          <w:b/>
          <w:color w:val="000000" w:themeColor="text1"/>
          <w:sz w:val="22"/>
          <w:lang w:val="tr-TR"/>
        </w:rPr>
        <w:t xml:space="preserve"> </w:t>
      </w:r>
      <w:r w:rsidR="002B179D" w:rsidRPr="00591327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teknik raporuna göre </w:t>
      </w:r>
      <w:r w:rsidR="002B179D" w:rsidRPr="00591327">
        <w:rPr>
          <w:rFonts w:ascii="Times New Roman" w:hAnsi="Times New Roman" w:cs="Times New Roman"/>
          <w:sz w:val="22"/>
          <w:lang w:val="tr-TR"/>
        </w:rPr>
        <w:t xml:space="preserve">yapılacaktır. </w:t>
      </w:r>
      <w:r w:rsidR="002B179D">
        <w:rPr>
          <w:rFonts w:ascii="Times New Roman" w:hAnsi="Times New Roman" w:cs="Times New Roman"/>
          <w:color w:val="000000" w:themeColor="text1"/>
          <w:sz w:val="22"/>
          <w:lang w:val="tr-TR"/>
        </w:rPr>
        <w:t>(Kapsanan birleşim tipleri için Bkz. Tablo:3)</w:t>
      </w:r>
    </w:p>
    <w:p w14:paraId="4D8E2877" w14:textId="61B33186" w:rsidR="00D30367" w:rsidRPr="002B179D" w:rsidRDefault="00D30367" w:rsidP="002B179D">
      <w:pPr>
        <w:pStyle w:val="ListParagraph"/>
        <w:spacing w:afterLines="60" w:after="144"/>
        <w:ind w:left="780"/>
        <w:jc w:val="both"/>
        <w:rPr>
          <w:rFonts w:ascii="Times New Roman" w:hAnsi="Times New Roman" w:cs="Times New Roman"/>
          <w:sz w:val="22"/>
          <w:lang w:val="tr-TR"/>
        </w:rPr>
      </w:pPr>
    </w:p>
    <w:p w14:paraId="161E842A" w14:textId="25BCA868" w:rsidR="007008E4" w:rsidRDefault="002B179D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DDD688D" wp14:editId="22325C5F">
            <wp:simplePos x="0" y="0"/>
            <wp:positionH relativeFrom="column">
              <wp:posOffset>320040</wp:posOffset>
            </wp:positionH>
            <wp:positionV relativeFrom="paragraph">
              <wp:posOffset>746760</wp:posOffset>
            </wp:positionV>
            <wp:extent cx="2339340" cy="3346450"/>
            <wp:effectExtent l="0" t="0" r="3810" b="635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25C907EA" wp14:editId="6177536E">
            <wp:simplePos x="0" y="0"/>
            <wp:positionH relativeFrom="column">
              <wp:posOffset>3123096</wp:posOffset>
            </wp:positionH>
            <wp:positionV relativeFrom="paragraph">
              <wp:posOffset>749907</wp:posOffset>
            </wp:positionV>
            <wp:extent cx="2775005" cy="3321275"/>
            <wp:effectExtent l="19050" t="19050" r="25400" b="1270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186" cy="33250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716" w:rsidRPr="007A02AB">
        <w:rPr>
          <w:rFonts w:ascii="Times New Roman" w:hAnsi="Times New Roman" w:cs="Times New Roman"/>
          <w:sz w:val="22"/>
          <w:lang w:val="tr-TR"/>
        </w:rPr>
        <w:t xml:space="preserve">Depremli durum yük kombinasyonlarının değerlendirilmesinde </w:t>
      </w:r>
      <w:r w:rsidR="00B93038" w:rsidRPr="007A02AB">
        <w:rPr>
          <w:rFonts w:ascii="Times New Roman" w:hAnsi="Times New Roman" w:cs="Times New Roman"/>
          <w:sz w:val="22"/>
          <w:lang w:val="tr-TR"/>
        </w:rPr>
        <w:t>kimyasal ankrajın sismik durumdaki yapışma dayanımı (f</w:t>
      </w:r>
      <w:r w:rsidR="00B93038" w:rsidRPr="007A02AB">
        <w:rPr>
          <w:rFonts w:ascii="Times New Roman" w:hAnsi="Times New Roman" w:cs="Times New Roman"/>
          <w:sz w:val="22"/>
          <w:vertAlign w:val="subscript"/>
          <w:lang w:val="tr-TR"/>
        </w:rPr>
        <w:t>bd,seis</w:t>
      </w:r>
      <w:r w:rsidR="00357716" w:rsidRPr="007A02AB">
        <w:rPr>
          <w:rFonts w:ascii="Times New Roman" w:hAnsi="Times New Roman" w:cs="Times New Roman"/>
          <w:sz w:val="22"/>
          <w:lang w:val="tr-TR"/>
        </w:rPr>
        <w:t>) kullanılacaktır.</w:t>
      </w:r>
      <w:r w:rsidR="00B93038" w:rsidRPr="007A02AB">
        <w:rPr>
          <w:rFonts w:ascii="Times New Roman" w:hAnsi="Times New Roman" w:cs="Times New Roman"/>
          <w:sz w:val="22"/>
          <w:lang w:val="tr-TR"/>
        </w:rPr>
        <w:t xml:space="preserve"> Belirlenen donatı çapları ve gömme derinliği değerleri hesaplanan yük kombinasyonlarının gerekliliklerini sağlayacaktır. </w:t>
      </w:r>
      <w:r w:rsidR="00B93038" w:rsidRPr="007A02AB">
        <w:rPr>
          <w:rFonts w:ascii="Times New Roman" w:hAnsi="Times New Roman" w:cs="Times New Roman"/>
          <w:b/>
          <w:sz w:val="22"/>
          <w:lang w:val="tr-TR"/>
        </w:rPr>
        <w:t>Bu değerleri sağlayan kimyasal ankraj</w:t>
      </w:r>
      <w:r w:rsidR="00E05546">
        <w:rPr>
          <w:rFonts w:ascii="Times New Roman" w:hAnsi="Times New Roman" w:cs="Times New Roman"/>
          <w:b/>
          <w:sz w:val="22"/>
          <w:lang w:val="tr-TR"/>
        </w:rPr>
        <w:t xml:space="preserve">ın hesap raporları ve ETA </w:t>
      </w:r>
      <w:r w:rsidR="00B93038" w:rsidRPr="007A02AB">
        <w:rPr>
          <w:rFonts w:ascii="Times New Roman" w:hAnsi="Times New Roman" w:cs="Times New Roman"/>
          <w:b/>
          <w:sz w:val="22"/>
          <w:lang w:val="tr-TR"/>
        </w:rPr>
        <w:t xml:space="preserve">belgeleri sunulacaktır. </w:t>
      </w:r>
    </w:p>
    <w:p w14:paraId="7207CF1B" w14:textId="4DF573D9" w:rsidR="00CD41A7" w:rsidRDefault="007F491E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  <w:r w:rsidRPr="007F491E">
        <w:rPr>
          <w:noProof/>
        </w:rPr>
        <w:t xml:space="preserve"> </w:t>
      </w:r>
    </w:p>
    <w:p w14:paraId="30779BD4" w14:textId="55020B46" w:rsidR="00CD41A7" w:rsidRDefault="002B179D" w:rsidP="00CD41A7">
      <w:pPr>
        <w:pStyle w:val="Caption"/>
        <w:keepNext/>
        <w:jc w:val="center"/>
        <w:rPr>
          <w:rFonts w:cs="Times New Roman"/>
          <w:lang w:val="tr-TR"/>
        </w:rPr>
      </w:pPr>
      <w:r w:rsidRPr="00467626">
        <w:rPr>
          <w:rFonts w:cs="Times New Roman"/>
          <w:b w:val="0"/>
          <w:noProof/>
        </w:rPr>
        <w:drawing>
          <wp:anchor distT="0" distB="0" distL="114300" distR="114300" simplePos="0" relativeHeight="251722752" behindDoc="0" locked="0" layoutInCell="1" allowOverlap="1" wp14:anchorId="080BD87C" wp14:editId="0833ADCA">
            <wp:simplePos x="0" y="0"/>
            <wp:positionH relativeFrom="column">
              <wp:posOffset>190500</wp:posOffset>
            </wp:positionH>
            <wp:positionV relativeFrom="paragraph">
              <wp:posOffset>207397</wp:posOffset>
            </wp:positionV>
            <wp:extent cx="2031482" cy="2859124"/>
            <wp:effectExtent l="0" t="0" r="6985" b="0"/>
            <wp:wrapNone/>
            <wp:docPr id="1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2FA75BB-BAA2-4DC3-8493-30D69DD1A8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2FA75BB-BAA2-4DC3-8493-30D69DD1A8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1482" cy="2859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1A7" w:rsidRPr="007A02AB">
        <w:rPr>
          <w:rFonts w:cs="Times New Roman"/>
          <w:szCs w:val="22"/>
          <w:lang w:val="tr-TR"/>
        </w:rPr>
        <w:t xml:space="preserve">Tablo </w:t>
      </w:r>
      <w:r w:rsidR="00CD41A7">
        <w:rPr>
          <w:rFonts w:cs="Times New Roman"/>
          <w:szCs w:val="22"/>
          <w:lang w:val="tr-TR"/>
        </w:rPr>
        <w:t>1</w:t>
      </w:r>
      <w:r w:rsidR="005B43A2">
        <w:rPr>
          <w:rFonts w:cs="Times New Roman"/>
          <w:szCs w:val="22"/>
          <w:lang w:val="tr-TR"/>
        </w:rPr>
        <w:t xml:space="preserve">: </w:t>
      </w:r>
      <w:r w:rsidR="00CD41A7" w:rsidRPr="00591327">
        <w:rPr>
          <w:rFonts w:cs="Times New Roman"/>
          <w:lang w:val="tr-TR"/>
        </w:rPr>
        <w:t>TS EN 1992-1-1</w:t>
      </w:r>
      <w:r w:rsidR="00CD41A7">
        <w:rPr>
          <w:rFonts w:cs="Times New Roman"/>
          <w:lang w:val="tr-TR"/>
        </w:rPr>
        <w:t xml:space="preserve"> </w:t>
      </w:r>
      <w:r w:rsidR="005B43A2">
        <w:rPr>
          <w:rFonts w:cs="Times New Roman"/>
          <w:lang w:val="tr-TR"/>
        </w:rPr>
        <w:t>Kapsamındaki Birleşim Tipleri (Bindirmeli Bağlantı)</w:t>
      </w:r>
    </w:p>
    <w:p w14:paraId="7739F635" w14:textId="67236C63" w:rsidR="006C241D" w:rsidRDefault="002B179D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  <w:r w:rsidRPr="00467626">
        <w:rPr>
          <w:rFonts w:ascii="Times New Roman" w:hAnsi="Times New Roman" w:cs="Times New Roman"/>
          <w:b/>
          <w:noProof/>
          <w:sz w:val="22"/>
        </w:rPr>
        <w:drawing>
          <wp:anchor distT="0" distB="0" distL="114300" distR="114300" simplePos="0" relativeHeight="251729920" behindDoc="0" locked="0" layoutInCell="1" allowOverlap="1" wp14:anchorId="322C984B" wp14:editId="2C815B79">
            <wp:simplePos x="0" y="0"/>
            <wp:positionH relativeFrom="column">
              <wp:posOffset>2272030</wp:posOffset>
            </wp:positionH>
            <wp:positionV relativeFrom="paragraph">
              <wp:posOffset>13197</wp:posOffset>
            </wp:positionV>
            <wp:extent cx="4347845" cy="2249805"/>
            <wp:effectExtent l="19050" t="19050" r="14605" b="17145"/>
            <wp:wrapNone/>
            <wp:docPr id="60271599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1BAA32B-5D86-4AB6-84FC-821BB904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1BAA32B-5D86-4AB6-84FC-821BB904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2249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270AA" w14:textId="6FB3C30F" w:rsidR="006C241D" w:rsidRDefault="006C241D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</w:p>
    <w:p w14:paraId="48E7BB8F" w14:textId="253D1BBC" w:rsidR="006C241D" w:rsidRDefault="006C241D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</w:p>
    <w:p w14:paraId="67E435A0" w14:textId="1B4D30D6" w:rsidR="006C241D" w:rsidRDefault="006C241D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</w:p>
    <w:p w14:paraId="2290E421" w14:textId="5198EFB2" w:rsidR="006C241D" w:rsidRDefault="006C241D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</w:p>
    <w:p w14:paraId="4BD105B7" w14:textId="39628A94" w:rsidR="006C241D" w:rsidRDefault="006C241D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</w:p>
    <w:p w14:paraId="1CDD4DF9" w14:textId="365C0E67" w:rsidR="006C241D" w:rsidRDefault="007142B9" w:rsidP="00B93038">
      <w:pPr>
        <w:spacing w:afterLines="60" w:after="144"/>
        <w:jc w:val="both"/>
        <w:rPr>
          <w:rFonts w:ascii="Times New Roman" w:hAnsi="Times New Roman" w:cs="Times New Roman"/>
          <w:b/>
          <w:sz w:val="22"/>
          <w:lang w:val="tr-TR"/>
        </w:rPr>
      </w:pPr>
      <w:r>
        <w:rPr>
          <w:rFonts w:ascii="Times New Roman" w:hAnsi="Times New Roman" w:cs="Times New Roman"/>
          <w:b/>
          <w:noProof/>
          <w:sz w:val="22"/>
          <w:lang w:val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ED57C9" wp14:editId="3EE85682">
                <wp:simplePos x="0" y="0"/>
                <wp:positionH relativeFrom="column">
                  <wp:posOffset>277798</wp:posOffset>
                </wp:positionH>
                <wp:positionV relativeFrom="paragraph">
                  <wp:posOffset>1330325</wp:posOffset>
                </wp:positionV>
                <wp:extent cx="6478437" cy="250166"/>
                <wp:effectExtent l="0" t="0" r="17780" b="17145"/>
                <wp:wrapNone/>
                <wp:docPr id="15373878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437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82AAA5" w14:textId="77777777" w:rsidR="007142B9" w:rsidRDefault="007142B9" w:rsidP="007142B9">
                            <w:pPr>
                              <w:pStyle w:val="Caption"/>
                              <w:keepNext/>
                              <w:rPr>
                                <w:rFonts w:cs="Times New Roman"/>
                                <w:lang w:val="tr-TR"/>
                              </w:rPr>
                            </w:pPr>
                            <w:r w:rsidRPr="007A02AB">
                              <w:rPr>
                                <w:rFonts w:cs="Times New Roman"/>
                                <w:szCs w:val="22"/>
                                <w:lang w:val="tr-TR"/>
                              </w:rPr>
                              <w:t xml:space="preserve">Tablo </w:t>
                            </w:r>
                            <w:r>
                              <w:rPr>
                                <w:rFonts w:cs="Times New Roman"/>
                                <w:szCs w:val="22"/>
                                <w:lang w:val="tr-TR"/>
                              </w:rPr>
                              <w:t xml:space="preserve">2: </w:t>
                            </w:r>
                            <w:r>
                              <w:rPr>
                                <w:rFonts w:cs="Times New Roman"/>
                                <w:lang w:val="tr-TR"/>
                              </w:rPr>
                              <w:t>EOTA TR069 Kapsamındaki Birleşim Tipleri (Bindirmesiz Moment Aktaran Bağlantı)</w:t>
                            </w:r>
                          </w:p>
                          <w:p w14:paraId="2CA78CF7" w14:textId="77777777" w:rsidR="007142B9" w:rsidRDefault="00714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D57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.85pt;margin-top:104.75pt;width:510.1pt;height:19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mpNAIAAHwEAAAOAAAAZHJzL2Uyb0RvYy54bWysVE1v2zAMvQ/YfxB0X+ykSdoZcYosRYYB&#10;QVsgHXpWZCk2IIuapMTOfv0o2flo19Owi0KK9BP5+JjZfVsrchDWVaBzOhyklAjNoaj0Lqc/X1Zf&#10;7ihxnumCKdAip0fh6P3886dZYzIxghJUISxBEO2yxuS09N5kSeJ4KWrmBmCExqAEWzOPrt0lhWUN&#10;otcqGaXpNGnAFsYCF87h7UMXpPOIL6Xg/klKJzxROcXafDxtPLfhTOYzlu0sM2XF+zLYP1RRs0rj&#10;o2eoB+YZ2dvqL6i64hYcSD/gUCcgZcVF7AG7GabvutmUzIjYC5LjzJkm9/9g+eNhY54t8e03aHGA&#10;gZDGuMzhZeinlbYOv1gpwThSeDzTJlpPOF5Ox7d345tbSjjGRpN0OJ0GmOTytbHOfxdQk2Dk1OJY&#10;IlvssHa+Sz2lhMccqKpYVUpFJ0hBLJUlB4ZDVD7WiOBvspQmDVZyM0kj8JtYFNMFYbv7AAHxlMaa&#10;L70Hy7fbtidkC8URebLQScgZvqqwmTVz/plZ1AxSg3vgn/CQCrAY6C1KSrC/P7oP+ThKjFLSoAZz&#10;6n7tmRWUqB8ah/x1OB4H0UZnPLkdoWOvI9vriN7XS0CGhrhxhkcz5Ht1MqWF+hXXZRFexRDTHN/O&#10;qT+ZS99tBq4bF4tFTEKZGubXemN4gA4TCaN6aV+ZNf08PSrhEU5qZdm7sXa54UsNi70HWcWZB4I7&#10;VnveUeJRNf06hh269mPW5U9j/gcAAP//AwBQSwMEFAAGAAgAAAAhAPvxDnbgAAAACwEAAA8AAABk&#10;cnMvZG93bnJldi54bWxMj8FOwzAMhu9IvENkJG4sYS2jLU2nCoSQAAkxuHDzGtNWNE7VZFv39mQn&#10;ONr+9Pv7y/VsB7GnyfeONVwvFAjixpmeWw2fH49XGQgfkA0OjknDkTysq/OzEgvjDvxO+01oRQxh&#10;X6CGLoSxkNI3HVn0CzcSx9u3myyGOE6tNBMeYrgd5FKplbTYc/zQ4Uj3HTU/m53V8Jx+4UMSXugY&#10;eH6r66dsTP2r1pcXc30HItAc/mA46Ud1qKLT1u3YeDFoSJPbSGpYqvwGxAlQqyQHsY2rNMtBVqX8&#10;36H6BQAA//8DAFBLAQItABQABgAIAAAAIQC2gziS/gAAAOEBAAATAAAAAAAAAAAAAAAAAAAAAABb&#10;Q29udGVudF9UeXBlc10ueG1sUEsBAi0AFAAGAAgAAAAhADj9If/WAAAAlAEAAAsAAAAAAAAAAAAA&#10;AAAALwEAAF9yZWxzLy5yZWxzUEsBAi0AFAAGAAgAAAAhAOEt2ak0AgAAfAQAAA4AAAAAAAAAAAAA&#10;AAAALgIAAGRycy9lMm9Eb2MueG1sUEsBAi0AFAAGAAgAAAAhAPvxDnbgAAAACwEAAA8AAAAAAAAA&#10;AAAAAAAAjgQAAGRycy9kb3ducmV2LnhtbFBLBQYAAAAABAAEAPMAAACbBQAAAAA=&#10;" fillcolor="white [3201]" strokecolor="white [3212]" strokeweight=".5pt">
                <v:textbox>
                  <w:txbxContent>
                    <w:p w14:paraId="1B82AAA5" w14:textId="77777777" w:rsidR="007142B9" w:rsidRDefault="007142B9" w:rsidP="007142B9">
                      <w:pPr>
                        <w:pStyle w:val="Caption"/>
                        <w:keepNext/>
                        <w:rPr>
                          <w:rFonts w:cs="Times New Roman"/>
                          <w:lang w:val="tr-TR"/>
                        </w:rPr>
                      </w:pPr>
                      <w:r w:rsidRPr="007A02AB">
                        <w:rPr>
                          <w:rFonts w:cs="Times New Roman"/>
                          <w:szCs w:val="22"/>
                          <w:lang w:val="tr-TR"/>
                        </w:rPr>
                        <w:t xml:space="preserve">Tablo </w:t>
                      </w:r>
                      <w:r>
                        <w:rPr>
                          <w:rFonts w:cs="Times New Roman"/>
                          <w:szCs w:val="22"/>
                          <w:lang w:val="tr-TR"/>
                        </w:rPr>
                        <w:t xml:space="preserve">2: </w:t>
                      </w:r>
                      <w:r>
                        <w:rPr>
                          <w:rFonts w:cs="Times New Roman"/>
                          <w:lang w:val="tr-TR"/>
                        </w:rPr>
                        <w:t>EOTA TR069 Kapsamındaki Birleşim Tipleri (Bindirmesiz Moment Aktaran Bağlantı)</w:t>
                      </w:r>
                    </w:p>
                    <w:p w14:paraId="2CA78CF7" w14:textId="77777777" w:rsidR="007142B9" w:rsidRDefault="007142B9"/>
                  </w:txbxContent>
                </v:textbox>
              </v:shape>
            </w:pict>
          </mc:Fallback>
        </mc:AlternateContent>
      </w:r>
    </w:p>
    <w:p w14:paraId="5027C92C" w14:textId="2083536D" w:rsidR="005D4E96" w:rsidRDefault="00D86EFD" w:rsidP="005D4E96">
      <w:pPr>
        <w:jc w:val="center"/>
        <w:rPr>
          <w:lang w:val="tr-TR"/>
        </w:rPr>
      </w:pPr>
      <w:r w:rsidRPr="00D86EFD">
        <w:rPr>
          <w:noProof/>
          <w:lang w:val="tr-TR"/>
        </w:rPr>
        <w:lastRenderedPageBreak/>
        <w:drawing>
          <wp:inline distT="0" distB="0" distL="0" distR="0" wp14:anchorId="3AED1C14" wp14:editId="6A5C2073">
            <wp:extent cx="2164020" cy="3433817"/>
            <wp:effectExtent l="19050" t="19050" r="27305" b="14605"/>
            <wp:docPr id="916493932" name="Picture 1" descr="A blue and white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93932" name="Picture 1" descr="A blue and white cov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3922" cy="34653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lang w:val="tr-TR"/>
        </w:rPr>
        <w:t xml:space="preserve">       </w:t>
      </w:r>
      <w:r w:rsidR="005D4E96" w:rsidRPr="005D4E96">
        <w:rPr>
          <w:noProof/>
          <w:lang w:val="tr-TR"/>
        </w:rPr>
        <w:drawing>
          <wp:inline distT="0" distB="0" distL="0" distR="0" wp14:anchorId="6A62C5EE" wp14:editId="647642E2">
            <wp:extent cx="2568721" cy="3454796"/>
            <wp:effectExtent l="19050" t="19050" r="22225" b="12700"/>
            <wp:docPr id="620674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7442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7345" cy="34663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51F10C" w14:textId="77777777" w:rsidR="00683EB4" w:rsidRDefault="00683EB4" w:rsidP="005D4E96">
      <w:pPr>
        <w:jc w:val="center"/>
        <w:rPr>
          <w:lang w:val="tr-TR"/>
        </w:rPr>
      </w:pPr>
    </w:p>
    <w:p w14:paraId="5BFCA763" w14:textId="696887CF" w:rsidR="007142B9" w:rsidRDefault="007142B9" w:rsidP="007142B9">
      <w:pPr>
        <w:pStyle w:val="Caption"/>
        <w:keepNext/>
        <w:rPr>
          <w:rFonts w:cs="Times New Roman"/>
          <w:lang w:val="tr-TR"/>
        </w:rPr>
      </w:pPr>
      <w:r w:rsidRPr="007A02AB">
        <w:rPr>
          <w:rFonts w:cs="Times New Roman"/>
          <w:szCs w:val="22"/>
          <w:lang w:val="tr-TR"/>
        </w:rPr>
        <w:t xml:space="preserve">Tablo </w:t>
      </w:r>
      <w:r>
        <w:rPr>
          <w:rFonts w:cs="Times New Roman"/>
          <w:szCs w:val="22"/>
          <w:lang w:val="tr-TR"/>
        </w:rPr>
        <w:t xml:space="preserve">3: </w:t>
      </w:r>
      <w:r>
        <w:rPr>
          <w:rFonts w:cs="Times New Roman"/>
          <w:lang w:val="tr-TR"/>
        </w:rPr>
        <w:t>EOTA TR069 Kapsamındaki Birleşim Tipleri (Bindirmesiz Moment Aktaran Bağlantı)</w:t>
      </w:r>
    </w:p>
    <w:p w14:paraId="01B320E0" w14:textId="77777777" w:rsidR="00357716" w:rsidRPr="00DD76C7" w:rsidRDefault="00357716" w:rsidP="00683EB4">
      <w:pPr>
        <w:pStyle w:val="Heading1"/>
        <w:numPr>
          <w:ilvl w:val="0"/>
          <w:numId w:val="9"/>
        </w:numPr>
      </w:pPr>
      <w:r w:rsidRPr="00DD76C7">
        <w:t>UYGULAMA ESASLARI</w:t>
      </w:r>
    </w:p>
    <w:p w14:paraId="6B89A282" w14:textId="394FC1F5" w:rsidR="007F491E" w:rsidRDefault="00357716" w:rsidP="00357716">
      <w:pPr>
        <w:spacing w:after="120"/>
        <w:jc w:val="both"/>
        <w:rPr>
          <w:rFonts w:ascii="Times New Roman" w:hAnsi="Times New Roman" w:cs="Times New Roman"/>
          <w:sz w:val="22"/>
          <w:lang w:val="tr-TR"/>
        </w:rPr>
      </w:pPr>
      <w:r w:rsidRPr="007A02AB">
        <w:rPr>
          <w:rFonts w:ascii="Times New Roman" w:hAnsi="Times New Roman" w:cs="Times New Roman"/>
          <w:sz w:val="22"/>
          <w:lang w:val="tr-TR"/>
        </w:rPr>
        <w:t xml:space="preserve">Uygulama prosedürü </w:t>
      </w:r>
      <w:r w:rsidRPr="007A02AB">
        <w:rPr>
          <w:rFonts w:ascii="Times New Roman" w:hAnsi="Times New Roman" w:cs="Times New Roman"/>
          <w:b/>
          <w:sz w:val="22"/>
          <w:lang w:val="tr-TR"/>
        </w:rPr>
        <w:t>“Betonarme İşleri Teknik Şartnamesi”</w:t>
      </w:r>
      <w:r w:rsidRPr="007A02AB">
        <w:rPr>
          <w:rFonts w:ascii="Times New Roman" w:hAnsi="Times New Roman" w:cs="Times New Roman"/>
          <w:sz w:val="22"/>
          <w:lang w:val="tr-TR"/>
        </w:rPr>
        <w:t xml:space="preserve">nde belirtildiği üzere kullanılacak ankraj elemanının ETA belgesinde tariflendiği şekilde gerçekleştirilmelidir. </w:t>
      </w:r>
    </w:p>
    <w:p w14:paraId="3429317E" w14:textId="1517A18F" w:rsidR="007F491E" w:rsidRPr="007A02AB" w:rsidRDefault="007F491E" w:rsidP="00357716">
      <w:pPr>
        <w:spacing w:after="120"/>
        <w:jc w:val="both"/>
        <w:rPr>
          <w:rFonts w:ascii="Times New Roman" w:hAnsi="Times New Roman" w:cs="Times New Roman"/>
          <w:sz w:val="22"/>
          <w:lang w:val="tr-TR"/>
        </w:rPr>
      </w:pPr>
      <w:r w:rsidRPr="007A02AB">
        <w:rPr>
          <w:rFonts w:ascii="Times New Roman" w:hAnsi="Times New Roman" w:cs="Times New Roman"/>
          <w:sz w:val="22"/>
          <w:lang w:val="tr-TR"/>
        </w:rPr>
        <w:t>Genel yönergeler aşağıda verildiği gibi olmalıdır.</w:t>
      </w:r>
    </w:p>
    <w:p w14:paraId="4E60C4F9" w14:textId="51CE4B52" w:rsidR="00357716" w:rsidRPr="00FC21F3" w:rsidRDefault="00357716" w:rsidP="00683EB4">
      <w:pPr>
        <w:pStyle w:val="Heading2"/>
      </w:pPr>
      <w:r w:rsidRPr="00FC21F3">
        <w:rPr>
          <w:szCs w:val="24"/>
        </w:rPr>
        <w:t>Uygulayıcı</w:t>
      </w:r>
      <w:r w:rsidRPr="00FC21F3">
        <w:t xml:space="preserve"> Yeterliği</w:t>
      </w:r>
    </w:p>
    <w:p w14:paraId="566055A0" w14:textId="78BE961B" w:rsidR="007A02AB" w:rsidRPr="00FC21F3" w:rsidRDefault="00357716" w:rsidP="005B43A2">
      <w:pPr>
        <w:pStyle w:val="ListParagraph"/>
        <w:numPr>
          <w:ilvl w:val="0"/>
          <w:numId w:val="2"/>
        </w:numPr>
        <w:spacing w:afterLines="60" w:after="144" w:line="240" w:lineRule="auto"/>
        <w:jc w:val="both"/>
        <w:rPr>
          <w:rFonts w:ascii="Times New Roman" w:hAnsi="Times New Roman" w:cs="Times New Roman"/>
          <w:color w:val="000000" w:themeColor="text1"/>
          <w:sz w:val="22"/>
          <w:lang w:val="tr-TR"/>
        </w:rPr>
      </w:pPr>
      <w:r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>Uygulamayı yapacak olan uygulayıcı(lar) “Filiz Ekimi Uzman Uygulayıcı Sertifikası”na sahip olmalıdır.</w:t>
      </w:r>
    </w:p>
    <w:p w14:paraId="78B73A1A" w14:textId="77777777" w:rsidR="00FC21F3" w:rsidRPr="00FC21F3" w:rsidRDefault="00FC21F3" w:rsidP="00683EB4">
      <w:pPr>
        <w:pStyle w:val="Heading2"/>
      </w:pPr>
      <w:r w:rsidRPr="00FC21F3">
        <w:t>Ön Hazırlık</w:t>
      </w:r>
    </w:p>
    <w:tbl>
      <w:tblPr>
        <w:tblStyle w:val="TableGrid"/>
        <w:tblW w:w="100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5616"/>
      </w:tblGrid>
      <w:tr w:rsidR="008C0825" w:rsidRPr="00FC21F3" w14:paraId="3EDB91D5" w14:textId="77777777" w:rsidTr="00683EB4">
        <w:tc>
          <w:tcPr>
            <w:tcW w:w="4438" w:type="dxa"/>
          </w:tcPr>
          <w:p w14:paraId="418C4EB9" w14:textId="700234C0" w:rsidR="007A02AB" w:rsidRPr="00FC21F3" w:rsidRDefault="00FC21F3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noProof/>
                <w:color w:val="000000" w:themeColor="text1"/>
                <w:sz w:val="22"/>
                <w:lang w:val="tr-TR"/>
              </w:rPr>
              <w:drawing>
                <wp:inline distT="0" distB="0" distL="0" distR="0" wp14:anchorId="1FAE920D" wp14:editId="710354AD">
                  <wp:extent cx="2171783" cy="971325"/>
                  <wp:effectExtent l="19050" t="19050" r="19050" b="19685"/>
                  <wp:docPr id="18153860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3860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318" cy="9764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</w:tcPr>
          <w:p w14:paraId="4C62B1F3" w14:textId="77777777" w:rsidR="00FC21F3" w:rsidRPr="00FC21F3" w:rsidRDefault="00FC21F3" w:rsidP="00FC21F3">
            <w:pPr>
              <w:pStyle w:val="ListParagraph"/>
              <w:numPr>
                <w:ilvl w:val="0"/>
                <w:numId w:val="5"/>
              </w:numPr>
              <w:spacing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Uygulayıcı işlem süresince koruyucu gözlük, eldiven ve giysi kullanacaktır. (Kimyasal ankrajın doğrudan cilt ve göz ile temasından kaçınılacaktır.)</w:t>
            </w:r>
          </w:p>
          <w:p w14:paraId="0151832F" w14:textId="77777777" w:rsidR="00FC21F3" w:rsidRPr="00FC21F3" w:rsidRDefault="00FC21F3" w:rsidP="00FC21F3">
            <w:pPr>
              <w:pStyle w:val="ListParagraph"/>
              <w:numPr>
                <w:ilvl w:val="0"/>
                <w:numId w:val="5"/>
              </w:numPr>
              <w:spacing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Kullanılacak kimyasal ankrajlar 5-25 °C sıcaklık aralığında depolanmalıdır.</w:t>
            </w:r>
          </w:p>
          <w:p w14:paraId="3EB4F303" w14:textId="11C95A9B" w:rsidR="007A02AB" w:rsidRPr="00FC21F3" w:rsidRDefault="007A02AB" w:rsidP="00FC21F3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</w:tbl>
    <w:p w14:paraId="087666C2" w14:textId="77777777" w:rsidR="007A02AB" w:rsidRPr="00FC21F3" w:rsidRDefault="007A02AB" w:rsidP="00683EB4">
      <w:pPr>
        <w:pStyle w:val="Heading2"/>
      </w:pPr>
      <w:r w:rsidRPr="00FC21F3">
        <w:t xml:space="preserve">Delik Açılması </w:t>
      </w:r>
    </w:p>
    <w:tbl>
      <w:tblPr>
        <w:tblStyle w:val="TableGrid"/>
        <w:tblW w:w="871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5128"/>
      </w:tblGrid>
      <w:tr w:rsidR="00CC60C2" w:rsidRPr="00FC21F3" w14:paraId="5DDB5EF5" w14:textId="77777777" w:rsidTr="008C0825">
        <w:tc>
          <w:tcPr>
            <w:tcW w:w="3591" w:type="dxa"/>
          </w:tcPr>
          <w:p w14:paraId="4150D3CD" w14:textId="77777777" w:rsidR="007A02AB" w:rsidRPr="00FC21F3" w:rsidRDefault="007A02AB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5DEEE00D" wp14:editId="0D7103E4">
                  <wp:extent cx="2143125" cy="845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49" cy="85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54DA4992" w14:textId="43558637" w:rsidR="007A02AB" w:rsidRPr="00FC21F3" w:rsidRDefault="007A02AB" w:rsidP="007A02AB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171" w:hanging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Projede verilen delik derinliği ve delik çapına göre, yüzeye dik şekilde darbeli matkap ile delik açılacaktır. 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br/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 xml:space="preserve">(bkz. </w:t>
            </w:r>
            <w:r w:rsidR="00E94893"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 xml:space="preserve">Tablo </w:t>
            </w:r>
            <w:r w:rsidR="00CC60C2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4</w:t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 xml:space="preserve"> 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veya ETA belgesi</w:t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)</w:t>
            </w:r>
          </w:p>
          <w:p w14:paraId="554547AB" w14:textId="77777777" w:rsidR="007A02AB" w:rsidRPr="00FC21F3" w:rsidRDefault="007A02AB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  <w:tr w:rsidR="00CC60C2" w:rsidRPr="00FC21F3" w14:paraId="1201BB70" w14:textId="77777777" w:rsidTr="008C0825">
        <w:tc>
          <w:tcPr>
            <w:tcW w:w="3591" w:type="dxa"/>
          </w:tcPr>
          <w:p w14:paraId="20F7473B" w14:textId="5E891A72" w:rsidR="00CC60C2" w:rsidRPr="00FC21F3" w:rsidRDefault="00CC60C2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</w:pPr>
            <w:r w:rsidRPr="00CC60C2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4CC872DC" wp14:editId="57B1402F">
                  <wp:extent cx="2095500" cy="828040"/>
                  <wp:effectExtent l="19050" t="19050" r="19050" b="10160"/>
                  <wp:docPr id="261356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56629" name=""/>
                          <pic:cNvPicPr/>
                        </pic:nvPicPr>
                        <pic:blipFill rotWithShape="1">
                          <a:blip r:embed="rId17"/>
                          <a:srcRect b="24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760" cy="8427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4974698A" w14:textId="30F0C51C" w:rsidR="00CC60C2" w:rsidRPr="00FC21F3" w:rsidRDefault="00CC60C2" w:rsidP="007A02AB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171" w:hanging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Eta Onayında olmak koşulu ile betondaki delikler karotlu delim ile açılabilir. </w:t>
            </w:r>
          </w:p>
        </w:tc>
      </w:tr>
      <w:tr w:rsidR="00CC60C2" w:rsidRPr="00FC21F3" w14:paraId="0FE2F0FB" w14:textId="77777777" w:rsidTr="008C0825">
        <w:tc>
          <w:tcPr>
            <w:tcW w:w="3591" w:type="dxa"/>
          </w:tcPr>
          <w:p w14:paraId="5A7FBEF9" w14:textId="63F0F2C8" w:rsidR="00CC60C2" w:rsidRPr="00CC60C2" w:rsidRDefault="00CC60C2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</w:pPr>
            <w:r w:rsidRPr="00CC60C2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lastRenderedPageBreak/>
              <w:drawing>
                <wp:inline distT="0" distB="0" distL="0" distR="0" wp14:anchorId="2D9EDD2A" wp14:editId="6CD18C8E">
                  <wp:extent cx="2084414" cy="1123950"/>
                  <wp:effectExtent l="19050" t="19050" r="11430" b="19050"/>
                  <wp:docPr id="1349147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14755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704" cy="11311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71CE3C0F" w14:textId="6CD63247" w:rsidR="00CC60C2" w:rsidRDefault="00CC60C2" w:rsidP="007A02AB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171" w:hanging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Karotlu delim uygulandı ise delik yüzeyi uygun aşındırma ucu ile aşındırılmalıdır. (Örn. Hilti TE-YRT Aşındırma Ucu)</w:t>
            </w:r>
          </w:p>
        </w:tc>
      </w:tr>
      <w:tr w:rsidR="00CC60C2" w:rsidRPr="00FC21F3" w14:paraId="167ED7DF" w14:textId="77777777" w:rsidTr="008C0825">
        <w:tc>
          <w:tcPr>
            <w:tcW w:w="3591" w:type="dxa"/>
          </w:tcPr>
          <w:p w14:paraId="11CEF0C6" w14:textId="1EB98B67" w:rsidR="008C0825" w:rsidRPr="00FC21F3" w:rsidRDefault="008C0825" w:rsidP="008C0825">
            <w:pPr>
              <w:spacing w:afterLines="60" w:after="144"/>
              <w:jc w:val="both"/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</w:pPr>
            <w:r w:rsidRPr="008C0825">
              <w:rPr>
                <w:rFonts w:ascii="Times New Roman" w:hAnsi="Times New Roman" w:cs="Times New Roman"/>
                <w:noProof/>
                <w:color w:val="000000" w:themeColor="text1"/>
                <w:sz w:val="22"/>
                <w:lang w:val="tr-TR"/>
              </w:rPr>
              <w:drawing>
                <wp:inline distT="0" distB="0" distL="0" distR="0" wp14:anchorId="4F25A8C9" wp14:editId="51524BB6">
                  <wp:extent cx="2084070" cy="1439545"/>
                  <wp:effectExtent l="19050" t="19050" r="11430" b="27305"/>
                  <wp:docPr id="1440657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65736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958" cy="14622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4AF790E7" w14:textId="35ED6996" w:rsidR="008C0825" w:rsidRPr="00FC21F3" w:rsidRDefault="008C0825" w:rsidP="008C0825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171" w:hanging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>
              <w:rPr>
                <w:noProof/>
              </w:rPr>
              <w:t xml:space="preserve"> </w:t>
            </w:r>
            <w:r w:rsidRPr="008C0825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Ürünün ETA belgesinde onayı bulunması şartı ile delikler tozsuz delim ucu ile açılabilir. Bu durumda ilave olarak delik temizliği yapılmasına gerek yoktur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, </w:t>
            </w:r>
            <w:r w:rsidRPr="008C0825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doğrudan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k</w:t>
            </w:r>
            <w:r w:rsidRPr="008C0825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imyasal ankraj uygulamasına geçilebilir.</w:t>
            </w:r>
          </w:p>
        </w:tc>
      </w:tr>
    </w:tbl>
    <w:p w14:paraId="23E2D816" w14:textId="60D69E44" w:rsidR="007A02AB" w:rsidRPr="00FC21F3" w:rsidRDefault="00CC60C2" w:rsidP="007A02AB">
      <w:pPr>
        <w:pStyle w:val="Caption"/>
        <w:keepNext/>
        <w:jc w:val="center"/>
        <w:rPr>
          <w:rFonts w:cs="Times New Roman"/>
          <w:szCs w:val="22"/>
          <w:lang w:val="tr-TR"/>
        </w:rPr>
      </w:pPr>
      <w:r>
        <w:rPr>
          <w:rFonts w:cs="Times New Roman"/>
          <w:szCs w:val="22"/>
          <w:lang w:val="tr-TR"/>
        </w:rPr>
        <w:t xml:space="preserve">Tablo 4: </w:t>
      </w:r>
      <w:r w:rsidR="007A02AB" w:rsidRPr="00FC21F3">
        <w:rPr>
          <w:rFonts w:cs="Times New Roman"/>
          <w:szCs w:val="22"/>
          <w:lang w:val="tr-TR"/>
        </w:rPr>
        <w:t xml:space="preserve">Beton </w:t>
      </w:r>
      <w:r w:rsidR="00F34988" w:rsidRPr="00FC21F3">
        <w:rPr>
          <w:rFonts w:cs="Times New Roman"/>
          <w:szCs w:val="22"/>
          <w:lang w:val="tr-TR"/>
        </w:rPr>
        <w:t>Delik</w:t>
      </w:r>
      <w:r w:rsidR="007A02AB" w:rsidRPr="00FC21F3">
        <w:rPr>
          <w:rFonts w:cs="Times New Roman"/>
          <w:szCs w:val="22"/>
          <w:lang w:val="tr-TR"/>
        </w:rPr>
        <w:t xml:space="preserve"> Çapları Tablosu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2326"/>
        <w:gridCol w:w="2184"/>
        <w:gridCol w:w="2185"/>
      </w:tblGrid>
      <w:tr w:rsidR="00894D54" w:rsidRPr="00FC21F3" w14:paraId="081DA230" w14:textId="4941B0E7" w:rsidTr="00683EB4">
        <w:trPr>
          <w:trHeight w:val="669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A8294" w14:textId="3BDF8E50" w:rsidR="00894D54" w:rsidRPr="00FC21F3" w:rsidRDefault="00894D54" w:rsidP="001C1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 xml:space="preserve">Donatı </w:t>
            </w: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br/>
              <w:t>Çapı</w:t>
            </w:r>
          </w:p>
          <w:p w14:paraId="3FD02548" w14:textId="77777777" w:rsidR="00894D54" w:rsidRPr="00FC21F3" w:rsidRDefault="00894D54" w:rsidP="001C1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(d)</w:t>
            </w:r>
          </w:p>
          <w:p w14:paraId="2F3319DE" w14:textId="77777777" w:rsidR="00894D54" w:rsidRPr="00FC21F3" w:rsidRDefault="00894D54" w:rsidP="001C16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i/>
                <w:iCs/>
                <w:sz w:val="22"/>
                <w:lang w:val="tr-TR"/>
              </w:rPr>
              <w:t>[mm]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3E7" w14:textId="77777777" w:rsidR="00894D54" w:rsidRPr="00FC21F3" w:rsidRDefault="00894D54" w:rsidP="001C1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Betondaki</w:t>
            </w:r>
          </w:p>
          <w:p w14:paraId="40922EFB" w14:textId="77777777" w:rsidR="00894D54" w:rsidRPr="00FC21F3" w:rsidRDefault="00894D54" w:rsidP="001C1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Delik Çapı</w:t>
            </w:r>
          </w:p>
          <w:p w14:paraId="432139C3" w14:textId="77777777" w:rsidR="00894D54" w:rsidRPr="00FC21F3" w:rsidRDefault="00894D54" w:rsidP="001C1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(d</w:t>
            </w:r>
            <w:r w:rsidRPr="00FC21F3">
              <w:rPr>
                <w:rFonts w:ascii="Times New Roman" w:hAnsi="Times New Roman" w:cs="Times New Roman"/>
                <w:b/>
                <w:sz w:val="22"/>
                <w:vertAlign w:val="subscript"/>
                <w:lang w:val="tr-TR"/>
              </w:rPr>
              <w:t>0</w:t>
            </w: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)</w:t>
            </w:r>
          </w:p>
          <w:p w14:paraId="6CB1BADD" w14:textId="77777777" w:rsidR="00894D54" w:rsidRPr="00FC21F3" w:rsidRDefault="00894D54" w:rsidP="001C16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i/>
                <w:iCs/>
                <w:sz w:val="22"/>
                <w:lang w:val="tr-TR"/>
              </w:rPr>
              <w:t>[mm]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FC14" w14:textId="77777777" w:rsidR="00894D54" w:rsidRPr="00FC21F3" w:rsidRDefault="00894D54" w:rsidP="00894D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 xml:space="preserve">Donatı </w:t>
            </w: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br/>
              <w:t>Çapı</w:t>
            </w:r>
          </w:p>
          <w:p w14:paraId="396C8A6B" w14:textId="77777777" w:rsidR="00894D54" w:rsidRPr="00FC21F3" w:rsidRDefault="00894D54" w:rsidP="00894D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(d)</w:t>
            </w:r>
          </w:p>
          <w:p w14:paraId="3DEB86B7" w14:textId="14070E27" w:rsidR="00894D54" w:rsidRPr="00FC21F3" w:rsidRDefault="00894D54" w:rsidP="00894D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i/>
                <w:iCs/>
                <w:sz w:val="22"/>
                <w:lang w:val="tr-TR"/>
              </w:rPr>
              <w:t>[mm]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1AE" w14:textId="77777777" w:rsidR="00894D54" w:rsidRPr="00FC21F3" w:rsidRDefault="00894D54" w:rsidP="00894D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Betondaki</w:t>
            </w:r>
          </w:p>
          <w:p w14:paraId="224FAE05" w14:textId="77777777" w:rsidR="00894D54" w:rsidRPr="00FC21F3" w:rsidRDefault="00894D54" w:rsidP="00894D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Delik Çapı</w:t>
            </w:r>
          </w:p>
          <w:p w14:paraId="65D3A851" w14:textId="77777777" w:rsidR="00894D54" w:rsidRPr="00FC21F3" w:rsidRDefault="00894D54" w:rsidP="00894D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(d</w:t>
            </w:r>
            <w:r w:rsidRPr="00FC21F3">
              <w:rPr>
                <w:rFonts w:ascii="Times New Roman" w:hAnsi="Times New Roman" w:cs="Times New Roman"/>
                <w:b/>
                <w:sz w:val="22"/>
                <w:vertAlign w:val="subscript"/>
                <w:lang w:val="tr-TR"/>
              </w:rPr>
              <w:t>0</w:t>
            </w:r>
            <w:r w:rsidRPr="00FC21F3">
              <w:rPr>
                <w:rFonts w:ascii="Times New Roman" w:hAnsi="Times New Roman" w:cs="Times New Roman"/>
                <w:b/>
                <w:sz w:val="22"/>
                <w:lang w:val="tr-TR"/>
              </w:rPr>
              <w:t>)</w:t>
            </w:r>
          </w:p>
          <w:p w14:paraId="782C66DB" w14:textId="03ED159A" w:rsidR="00894D54" w:rsidRPr="00FC21F3" w:rsidRDefault="00894D54" w:rsidP="00894D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i/>
                <w:iCs/>
                <w:sz w:val="22"/>
                <w:lang w:val="tr-TR"/>
              </w:rPr>
              <w:t>[mm]</w:t>
            </w:r>
          </w:p>
        </w:tc>
      </w:tr>
      <w:tr w:rsidR="00894D54" w:rsidRPr="00FC21F3" w14:paraId="6775D768" w14:textId="5A72D0B3" w:rsidTr="00683EB4">
        <w:trPr>
          <w:trHeight w:val="224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3B566" w14:textId="5D33D0F3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Ø8</w:t>
            </w:r>
          </w:p>
        </w:tc>
        <w:tc>
          <w:tcPr>
            <w:tcW w:w="23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B2F01A" w14:textId="74AB7EE6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*10 / 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C7D21" w14:textId="77E63D8A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Ø24</w:t>
            </w:r>
          </w:p>
        </w:tc>
        <w:tc>
          <w:tcPr>
            <w:tcW w:w="2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BD47A9" w14:textId="5844F65E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32</w:t>
            </w:r>
          </w:p>
        </w:tc>
      </w:tr>
      <w:tr w:rsidR="00894D54" w:rsidRPr="00FC21F3" w14:paraId="2A6C75BD" w14:textId="5572CFB2" w:rsidTr="00683EB4">
        <w:trPr>
          <w:trHeight w:val="224"/>
          <w:jc w:val="center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2ED5A12D" w14:textId="6B8F4615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Ø10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54950081" w14:textId="1D7C55F3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*12 / 14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E0CB4ED" w14:textId="56D3DF47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Ø25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3096CD70" w14:textId="68AC6450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32</w:t>
            </w:r>
          </w:p>
        </w:tc>
      </w:tr>
      <w:tr w:rsidR="00894D54" w:rsidRPr="00FC21F3" w14:paraId="22763F82" w14:textId="24541024" w:rsidTr="00683EB4">
        <w:trPr>
          <w:trHeight w:val="224"/>
          <w:jc w:val="center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1DEDADA7" w14:textId="4974E6F8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Ø12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422B98EA" w14:textId="27129E16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*14 / 16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3F5C7B47" w14:textId="19298248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Ø26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47FBEF5F" w14:textId="38914E0B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35</w:t>
            </w:r>
          </w:p>
        </w:tc>
      </w:tr>
      <w:tr w:rsidR="00894D54" w:rsidRPr="00FC21F3" w14:paraId="4C1CDEEB" w14:textId="271AF57E" w:rsidTr="00683EB4">
        <w:trPr>
          <w:trHeight w:val="224"/>
          <w:jc w:val="center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2C1FBC04" w14:textId="2C7785A1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Ø14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587CC13D" w14:textId="21CF647D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18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376B39C5" w14:textId="6877D5AD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Ø28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50489E6A" w14:textId="396BD4F0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35</w:t>
            </w:r>
          </w:p>
        </w:tc>
      </w:tr>
      <w:tr w:rsidR="00894D54" w:rsidRPr="00FC21F3" w14:paraId="7D1942C0" w14:textId="0CF238D4" w:rsidTr="00683EB4">
        <w:trPr>
          <w:trHeight w:val="224"/>
          <w:jc w:val="center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2D6F22F0" w14:textId="0077EC11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Ø16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1B9C1A52" w14:textId="14016506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20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7672705D" w14:textId="584D3FAA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Ø30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437ADB35" w14:textId="78D4C5F6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37</w:t>
            </w:r>
          </w:p>
        </w:tc>
      </w:tr>
      <w:tr w:rsidR="00894D54" w:rsidRPr="00FC21F3" w14:paraId="1B87644E" w14:textId="5B3850F3" w:rsidTr="00683EB4">
        <w:trPr>
          <w:trHeight w:val="224"/>
          <w:jc w:val="center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5A29008B" w14:textId="7A79211F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Ø18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7206B54D" w14:textId="0BEE9B46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22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0066FA01" w14:textId="2690333A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Ø32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1A866C2C" w14:textId="15BB7936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40</w:t>
            </w:r>
          </w:p>
        </w:tc>
      </w:tr>
      <w:tr w:rsidR="00894D54" w:rsidRPr="00FC21F3" w14:paraId="66DEF360" w14:textId="31F08B0F" w:rsidTr="00683EB4">
        <w:trPr>
          <w:trHeight w:val="224"/>
          <w:jc w:val="center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4D22AD85" w14:textId="2BDEA4D4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Ø20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4667A534" w14:textId="12401967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25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3637B4BC" w14:textId="050A0314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Ø36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74138554" w14:textId="5425D66C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45</w:t>
            </w:r>
          </w:p>
        </w:tc>
      </w:tr>
      <w:tr w:rsidR="00894D54" w:rsidRPr="00FC21F3" w14:paraId="4417BBBC" w14:textId="2BEEE147" w:rsidTr="00683EB4">
        <w:trPr>
          <w:trHeight w:val="224"/>
          <w:jc w:val="center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7745E3B1" w14:textId="01D8E0FD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Ø22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4F3CF9AE" w14:textId="6DF46C9B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28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0BD6A964" w14:textId="6C24C2EC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Ø40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06451AB7" w14:textId="4A9FC3DA" w:rsidR="00894D54" w:rsidRPr="00FC21F3" w:rsidRDefault="00894D54" w:rsidP="00894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55</w:t>
            </w:r>
          </w:p>
        </w:tc>
      </w:tr>
      <w:tr w:rsidR="00894D54" w:rsidRPr="00FC21F3" w14:paraId="4EAD9FB7" w14:textId="097A66B4" w:rsidTr="00683EB4">
        <w:trPr>
          <w:trHeight w:val="224"/>
          <w:jc w:val="center"/>
        </w:trPr>
        <w:tc>
          <w:tcPr>
            <w:tcW w:w="4600" w:type="dxa"/>
            <w:gridSpan w:val="2"/>
            <w:tcBorders>
              <w:top w:val="single" w:sz="4" w:space="0" w:color="auto"/>
            </w:tcBorders>
            <w:vAlign w:val="center"/>
          </w:tcPr>
          <w:p w14:paraId="50FE8127" w14:textId="3C7A5DCE" w:rsidR="00894D54" w:rsidRPr="00FC21F3" w:rsidRDefault="00894D54" w:rsidP="00894D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* Ürün ETA belgesinden kontrol edilmelidir.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14:paraId="37AD84F8" w14:textId="77777777" w:rsidR="00894D54" w:rsidRPr="00FC21F3" w:rsidRDefault="00894D54" w:rsidP="00894D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</w:tcPr>
          <w:p w14:paraId="37C2CD60" w14:textId="77777777" w:rsidR="00894D54" w:rsidRPr="00FC21F3" w:rsidRDefault="00894D54" w:rsidP="00894D5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</w:p>
        </w:tc>
      </w:tr>
    </w:tbl>
    <w:p w14:paraId="241210CD" w14:textId="1564F4F3" w:rsidR="007A02AB" w:rsidRPr="00FC21F3" w:rsidRDefault="007A02AB" w:rsidP="00683EB4">
      <w:pPr>
        <w:pStyle w:val="Heading2"/>
      </w:pPr>
      <w:r w:rsidRPr="00FC21F3">
        <w:t>Delik Temizliği</w:t>
      </w:r>
    </w:p>
    <w:tbl>
      <w:tblPr>
        <w:tblStyle w:val="TableGrid"/>
        <w:tblW w:w="871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5130"/>
      </w:tblGrid>
      <w:tr w:rsidR="008C0825" w:rsidRPr="00FC21F3" w14:paraId="416F341A" w14:textId="77777777" w:rsidTr="008C0825">
        <w:tc>
          <w:tcPr>
            <w:tcW w:w="3589" w:type="dxa"/>
          </w:tcPr>
          <w:p w14:paraId="641B5B44" w14:textId="77777777" w:rsidR="007A02AB" w:rsidRPr="00FC21F3" w:rsidRDefault="007A02AB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62BA684E" wp14:editId="3E59225B">
                  <wp:extent cx="2141934" cy="866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934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88934E5" w14:textId="77777777" w:rsidR="007A02AB" w:rsidRPr="00FC21F3" w:rsidRDefault="007A02AB" w:rsidP="007A02AB">
            <w:pPr>
              <w:pStyle w:val="ListParagraph"/>
              <w:numPr>
                <w:ilvl w:val="0"/>
                <w:numId w:val="6"/>
              </w:numPr>
              <w:tabs>
                <w:tab w:val="left" w:pos="487"/>
              </w:tabs>
              <w:spacing w:afterLines="60" w:after="144" w:line="240" w:lineRule="auto"/>
              <w:ind w:left="171" w:hanging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6 bar basınçlı kompresör ile delik tozdan arındırılana kadar hava uygulanacaktır.</w:t>
            </w:r>
          </w:p>
          <w:p w14:paraId="12BEEBF8" w14:textId="77777777" w:rsidR="007A02AB" w:rsidRPr="00FC21F3" w:rsidRDefault="007A02AB" w:rsidP="001C16E4">
            <w:pPr>
              <w:tabs>
                <w:tab w:val="left" w:pos="487"/>
              </w:tabs>
              <w:spacing w:afterLines="60" w:after="144"/>
              <w:ind w:left="171" w:hanging="17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  <w:tr w:rsidR="008C0825" w:rsidRPr="00FC21F3" w14:paraId="6BC46F32" w14:textId="77777777" w:rsidTr="008C0825">
        <w:tc>
          <w:tcPr>
            <w:tcW w:w="3589" w:type="dxa"/>
          </w:tcPr>
          <w:p w14:paraId="622EAD53" w14:textId="77777777" w:rsidR="007A02AB" w:rsidRPr="00FC21F3" w:rsidRDefault="007A02AB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531054D8" wp14:editId="11FBC56A">
                  <wp:extent cx="2141855" cy="836662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328" cy="83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3BC27DD" w14:textId="77777777" w:rsidR="007A02AB" w:rsidRPr="00FC21F3" w:rsidRDefault="007A02AB" w:rsidP="007A02AB">
            <w:pPr>
              <w:pStyle w:val="ListParagraph"/>
              <w:numPr>
                <w:ilvl w:val="0"/>
                <w:numId w:val="6"/>
              </w:numPr>
              <w:tabs>
                <w:tab w:val="left" w:pos="487"/>
              </w:tabs>
              <w:spacing w:afterLines="60" w:after="144" w:line="240" w:lineRule="auto"/>
              <w:ind w:left="171" w:hanging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Delik çapına uygun tel fırça (harbi) ile delik iç yüzeyine tutunmuş olan tozlar yüzeyden uzaklaştırılacaktır.</w:t>
            </w:r>
          </w:p>
          <w:p w14:paraId="5452138A" w14:textId="77777777" w:rsidR="007A02AB" w:rsidRPr="00FC21F3" w:rsidRDefault="007A02AB" w:rsidP="001C16E4">
            <w:pPr>
              <w:tabs>
                <w:tab w:val="left" w:pos="487"/>
              </w:tabs>
              <w:spacing w:afterLines="60" w:after="144"/>
              <w:ind w:left="171" w:hanging="17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  <w:tr w:rsidR="008C0825" w:rsidRPr="00FC21F3" w14:paraId="5A2206FB" w14:textId="77777777" w:rsidTr="008C0825">
        <w:tc>
          <w:tcPr>
            <w:tcW w:w="3589" w:type="dxa"/>
          </w:tcPr>
          <w:p w14:paraId="69EAB7BD" w14:textId="77777777" w:rsidR="007A02AB" w:rsidRPr="00FC21F3" w:rsidRDefault="007A02AB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  <w:drawing>
                <wp:inline distT="0" distB="0" distL="0" distR="0" wp14:anchorId="26A58697" wp14:editId="739783B6">
                  <wp:extent cx="2141855" cy="86674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306" cy="86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C97C11F" w14:textId="77777777" w:rsidR="007A02AB" w:rsidRPr="00FC21F3" w:rsidRDefault="007A02AB" w:rsidP="007A02AB">
            <w:pPr>
              <w:pStyle w:val="ListParagraph"/>
              <w:numPr>
                <w:ilvl w:val="0"/>
                <w:numId w:val="6"/>
              </w:numPr>
              <w:tabs>
                <w:tab w:val="left" w:pos="487"/>
              </w:tabs>
              <w:spacing w:afterLines="60" w:after="144" w:line="240" w:lineRule="auto"/>
              <w:ind w:left="171" w:hanging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Fırçalama işleminden sonra, delik içerisinde biriken tozdan arındırılana kadar tekrar 6 bar basınçlı kompresör ile hava uygulanacaktır.</w:t>
            </w:r>
          </w:p>
          <w:p w14:paraId="14D8BEF2" w14:textId="77777777" w:rsidR="007A02AB" w:rsidRPr="00FC21F3" w:rsidRDefault="007A02AB" w:rsidP="001C16E4">
            <w:pPr>
              <w:tabs>
                <w:tab w:val="left" w:pos="487"/>
              </w:tabs>
              <w:spacing w:afterLines="60" w:after="144"/>
              <w:ind w:left="171" w:hanging="17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  <w:tr w:rsidR="008C0825" w:rsidRPr="00FC21F3" w14:paraId="71F31891" w14:textId="77777777" w:rsidTr="008C0825">
        <w:tc>
          <w:tcPr>
            <w:tcW w:w="3589" w:type="dxa"/>
          </w:tcPr>
          <w:p w14:paraId="6672A672" w14:textId="46FCC3B1" w:rsidR="009B6DE4" w:rsidRPr="00FC21F3" w:rsidRDefault="009B6DE4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</w:pPr>
          </w:p>
        </w:tc>
        <w:tc>
          <w:tcPr>
            <w:tcW w:w="5130" w:type="dxa"/>
          </w:tcPr>
          <w:p w14:paraId="56616882" w14:textId="77777777" w:rsidR="009B6DE4" w:rsidRPr="00FC21F3" w:rsidRDefault="009B6DE4" w:rsidP="001C16E4">
            <w:pPr>
              <w:pStyle w:val="ListParagraph"/>
              <w:tabs>
                <w:tab w:val="left" w:pos="487"/>
              </w:tabs>
              <w:spacing w:afterLines="60" w:after="144" w:line="240" w:lineRule="auto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</w:p>
        </w:tc>
      </w:tr>
    </w:tbl>
    <w:p w14:paraId="16026E9C" w14:textId="7030684E" w:rsidR="007A02AB" w:rsidRPr="00FC21F3" w:rsidRDefault="007A02AB" w:rsidP="00683EB4">
      <w:pPr>
        <w:pStyle w:val="Heading2"/>
      </w:pPr>
      <w:r w:rsidRPr="00FC21F3">
        <w:lastRenderedPageBreak/>
        <w:t xml:space="preserve">Kimyasal Ankrajın ve </w:t>
      </w:r>
      <w:r w:rsidR="00777D46" w:rsidRPr="00FC21F3">
        <w:t>Filiz Donatısının</w:t>
      </w:r>
      <w:r w:rsidRPr="00FC21F3">
        <w:t xml:space="preserve"> Uygulanması</w:t>
      </w:r>
    </w:p>
    <w:tbl>
      <w:tblPr>
        <w:tblStyle w:val="TableGrid"/>
        <w:tblW w:w="933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142"/>
        <w:gridCol w:w="6008"/>
      </w:tblGrid>
      <w:tr w:rsidR="00683EB4" w:rsidRPr="00FC21F3" w14:paraId="05FB0B95" w14:textId="77777777" w:rsidTr="00683EB4">
        <w:tc>
          <w:tcPr>
            <w:tcW w:w="3184" w:type="dxa"/>
          </w:tcPr>
          <w:p w14:paraId="4EE307D0" w14:textId="5E29DEC9" w:rsidR="00683EB4" w:rsidRPr="00683EB4" w:rsidRDefault="00683EB4" w:rsidP="00683EB4">
            <w:pPr>
              <w:spacing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683EB4">
              <w:rPr>
                <w:noProof/>
                <w:lang w:val="tr-TR"/>
              </w:rPr>
              <w:drawing>
                <wp:inline distT="0" distB="0" distL="0" distR="0" wp14:anchorId="0754B14B" wp14:editId="28E13EF5">
                  <wp:extent cx="1801124" cy="916848"/>
                  <wp:effectExtent l="19050" t="19050" r="8890" b="17145"/>
                  <wp:docPr id="705556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556463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098" cy="9300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gridSpan w:val="2"/>
          </w:tcPr>
          <w:p w14:paraId="79C80881" w14:textId="47958A2F" w:rsidR="00683EB4" w:rsidRPr="00FC21F3" w:rsidRDefault="00683EB4" w:rsidP="009B6DE4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312" w:hanging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Çift komponentli kimyasal ankrajın ilk 4 tetik miktarı kullanılmayacak, doğaya zarar vermeyecek şekilde biriktirilip atılacaktır.</w:t>
            </w:r>
          </w:p>
          <w:p w14:paraId="09FB3A5F" w14:textId="77777777" w:rsidR="00683EB4" w:rsidRPr="00FC21F3" w:rsidRDefault="00683EB4" w:rsidP="009B6DE4">
            <w:pPr>
              <w:tabs>
                <w:tab w:val="left" w:pos="487"/>
              </w:tabs>
              <w:spacing w:afterLines="60" w:after="144"/>
              <w:ind w:left="312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  <w:tr w:rsidR="00683EB4" w:rsidRPr="00FC21F3" w14:paraId="064A0C41" w14:textId="77777777" w:rsidTr="00683EB4">
        <w:tc>
          <w:tcPr>
            <w:tcW w:w="3184" w:type="dxa"/>
          </w:tcPr>
          <w:p w14:paraId="4812B34A" w14:textId="30D51640" w:rsidR="00683EB4" w:rsidRPr="00683EB4" w:rsidRDefault="00683EB4" w:rsidP="00683EB4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683EB4">
              <w:rPr>
                <w:rFonts w:ascii="Times New Roman" w:hAnsi="Times New Roman" w:cs="Times New Roman"/>
                <w:noProof/>
                <w:color w:val="000000" w:themeColor="text1"/>
                <w:sz w:val="22"/>
                <w:lang w:val="tr-TR"/>
              </w:rPr>
              <w:drawing>
                <wp:inline distT="0" distB="0" distL="0" distR="0" wp14:anchorId="79C36A4A" wp14:editId="77FC012E">
                  <wp:extent cx="1799590" cy="1014095"/>
                  <wp:effectExtent l="19050" t="19050" r="10160" b="14605"/>
                  <wp:docPr id="1075745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45313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522" cy="10287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gridSpan w:val="2"/>
          </w:tcPr>
          <w:p w14:paraId="6858D785" w14:textId="76AF8F20" w:rsidR="00683EB4" w:rsidRPr="00FC21F3" w:rsidRDefault="00683EB4" w:rsidP="007A02AB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312" w:hanging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Ankraj deliği dip noktasından, hava boşluğu kalmayacak şekilde doldurulmaya başlanacaktır.</w:t>
            </w:r>
          </w:p>
          <w:p w14:paraId="3351077F" w14:textId="77777777" w:rsidR="00683EB4" w:rsidRPr="00FC21F3" w:rsidRDefault="00683EB4" w:rsidP="007A02AB">
            <w:pPr>
              <w:pStyle w:val="ListParagraph"/>
              <w:numPr>
                <w:ilvl w:val="1"/>
                <w:numId w:val="6"/>
              </w:numPr>
              <w:spacing w:afterLines="60" w:after="144" w:line="240" w:lineRule="auto"/>
              <w:ind w:left="595" w:hanging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Delik derinliği 25 cm’den fazla ise hava boşluğu kalmasını önleyici, uygun çaptaki, piston tıkaç (piston-plug) aparatı kimyasal ankraj mikser ucuna takılarak enjeksiyon yapılacaktır.</w:t>
            </w:r>
          </w:p>
          <w:p w14:paraId="4699687B" w14:textId="77777777" w:rsidR="00683EB4" w:rsidRPr="00FC21F3" w:rsidRDefault="00683EB4" w:rsidP="001C16E4">
            <w:pPr>
              <w:tabs>
                <w:tab w:val="left" w:pos="487"/>
              </w:tabs>
              <w:spacing w:afterLines="60" w:after="144"/>
              <w:ind w:left="312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  <w:tr w:rsidR="00683EB4" w:rsidRPr="00FC21F3" w14:paraId="7961C20F" w14:textId="77777777" w:rsidTr="00683EB4">
        <w:tc>
          <w:tcPr>
            <w:tcW w:w="3326" w:type="dxa"/>
            <w:gridSpan w:val="2"/>
          </w:tcPr>
          <w:p w14:paraId="71421208" w14:textId="76FD48D4" w:rsidR="00683EB4" w:rsidRPr="00683EB4" w:rsidRDefault="00683EB4" w:rsidP="00683EB4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683EB4">
              <w:rPr>
                <w:rFonts w:ascii="Times New Roman" w:hAnsi="Times New Roman" w:cs="Times New Roman"/>
                <w:noProof/>
                <w:color w:val="000000" w:themeColor="text1"/>
                <w:sz w:val="22"/>
                <w:lang w:val="tr-TR"/>
              </w:rPr>
              <w:drawing>
                <wp:inline distT="0" distB="0" distL="0" distR="0" wp14:anchorId="6DDFE400" wp14:editId="35C94783">
                  <wp:extent cx="1819910" cy="988542"/>
                  <wp:effectExtent l="19050" t="19050" r="8890" b="21590"/>
                  <wp:docPr id="1982822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822733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98" cy="10011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8" w:type="dxa"/>
          </w:tcPr>
          <w:p w14:paraId="587AE051" w14:textId="1074F0AF" w:rsidR="00683EB4" w:rsidRPr="00FC21F3" w:rsidRDefault="00683EB4" w:rsidP="007A02AB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312" w:hanging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Delik derinliğinin 2/3’ü, delik dip noktasından başlanarak yavaş hamlelerle, delik içerisinde hava boşluğu kalmayacak şekilde kimyasal ankraj ile doldurulacaktır. </w:t>
            </w:r>
          </w:p>
          <w:p w14:paraId="7CFC62A8" w14:textId="77777777" w:rsidR="00683EB4" w:rsidRPr="00FC21F3" w:rsidRDefault="00683EB4" w:rsidP="001C16E4">
            <w:pPr>
              <w:tabs>
                <w:tab w:val="left" w:pos="487"/>
              </w:tabs>
              <w:spacing w:afterLines="60" w:after="144"/>
              <w:ind w:left="312" w:hanging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</w:pPr>
          </w:p>
        </w:tc>
      </w:tr>
    </w:tbl>
    <w:p w14:paraId="6C807C57" w14:textId="77777777" w:rsidR="007A02AB" w:rsidRPr="00FC21F3" w:rsidRDefault="007A02AB" w:rsidP="007A02AB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971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6534"/>
      </w:tblGrid>
      <w:tr w:rsidR="007A02AB" w:rsidRPr="00FC21F3" w14:paraId="615618AA" w14:textId="77777777" w:rsidTr="001C16E4">
        <w:tc>
          <w:tcPr>
            <w:tcW w:w="9718" w:type="dxa"/>
            <w:gridSpan w:val="2"/>
          </w:tcPr>
          <w:p w14:paraId="182F1570" w14:textId="77777777" w:rsidR="007A02AB" w:rsidRPr="00FC21F3" w:rsidRDefault="007A02AB" w:rsidP="00683EB4">
            <w:pPr>
              <w:pStyle w:val="ListParagraph"/>
              <w:spacing w:afterLines="60" w:after="144" w:line="240" w:lineRule="auto"/>
              <w:ind w:left="5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Kullanılan kimyasal ankrajın</w:t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 xml:space="preserve"> ETA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 belgesinde yer alan ‘</w:t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uygulama süreleri’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 tablosundaki;</w:t>
            </w:r>
          </w:p>
        </w:tc>
      </w:tr>
      <w:tr w:rsidR="007A02AB" w:rsidRPr="00FC21F3" w14:paraId="3F5FD141" w14:textId="77777777" w:rsidTr="001C16E4">
        <w:tc>
          <w:tcPr>
            <w:tcW w:w="3184" w:type="dxa"/>
          </w:tcPr>
          <w:p w14:paraId="3EFD2DB1" w14:textId="2EBC8321" w:rsidR="007A02AB" w:rsidRPr="00FC21F3" w:rsidRDefault="00053A87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</w:pPr>
            <w:r w:rsidRPr="00FC21F3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0FF5E43" wp14:editId="7C098656">
                  <wp:extent cx="1800000" cy="71360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71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4" w:type="dxa"/>
          </w:tcPr>
          <w:p w14:paraId="11CEA36A" w14:textId="700EB878" w:rsidR="007A02AB" w:rsidRPr="00FC21F3" w:rsidRDefault="007A02AB" w:rsidP="00E17DC8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312" w:hanging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Mevcut beton sıcaklığına tekabül eden “işleme süresi (t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vertAlign w:val="subscript"/>
                <w:lang w:val="tr-TR"/>
              </w:rPr>
              <w:t>işleme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)” öncesinde </w:t>
            </w:r>
            <w:r w:rsidR="00E17DC8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filiz donatıları ankraj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 deliğine kendi ekseninde ç</w:t>
            </w:r>
            <w:r w:rsidR="005E0CC0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evrilerek, yavaşca yerleştirilecektir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.</w:t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 xml:space="preserve"> (</w:t>
            </w:r>
            <w:r w:rsidRPr="00FC21F3">
              <w:rPr>
                <w:rFonts w:ascii="Times New Roman" w:hAnsi="Times New Roman" w:cs="Times New Roman"/>
                <w:bCs/>
                <w:color w:val="000000" w:themeColor="text1"/>
                <w:sz w:val="22"/>
                <w:lang w:val="tr-TR"/>
              </w:rPr>
              <w:t>bkz.</w:t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 xml:space="preserve"> 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ETA belgesi</w:t>
            </w:r>
            <w:r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)</w:t>
            </w:r>
          </w:p>
        </w:tc>
      </w:tr>
      <w:tr w:rsidR="007A02AB" w:rsidRPr="00FC21F3" w14:paraId="694595A8" w14:textId="77777777" w:rsidTr="001C16E4">
        <w:tc>
          <w:tcPr>
            <w:tcW w:w="3184" w:type="dxa"/>
          </w:tcPr>
          <w:p w14:paraId="59EB89D9" w14:textId="11E6424D" w:rsidR="007A02AB" w:rsidRPr="00FC21F3" w:rsidRDefault="00053A87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</w:pPr>
            <w:r w:rsidRPr="00FC21F3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98A4FF3" wp14:editId="65523BCD">
                  <wp:extent cx="1800000" cy="70941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70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4" w:type="dxa"/>
          </w:tcPr>
          <w:p w14:paraId="51A2AFF8" w14:textId="0710DC0E" w:rsidR="007A02AB" w:rsidRPr="00FC21F3" w:rsidRDefault="00AA718C" w:rsidP="00E21041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Mevcut beton sıcaklığına tekabül eden “montaj süresi (t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vertAlign w:val="subscript"/>
                <w:lang w:val="tr-TR"/>
              </w:rPr>
              <w:t>montaj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)” </w:t>
            </w:r>
            <w:r w:rsidR="00E21041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 sonrasında ekilen filizlere yeni yapı filizleri bağlanacaktır. Ö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ncesinde ekilen filiz</w:t>
            </w:r>
            <w:r w:rsidR="00E21041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ler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 üzerin</w:t>
            </w:r>
            <w:r w:rsidR="003B3EDE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de as</w:t>
            </w:r>
            <w:r w:rsidR="00E21041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la işlem yapılmayacaktır ve herhangi bir yüke maruz bırakılmayacaktır.</w:t>
            </w:r>
          </w:p>
        </w:tc>
      </w:tr>
      <w:tr w:rsidR="00053A87" w:rsidRPr="00FC21F3" w14:paraId="09A6807E" w14:textId="77777777" w:rsidTr="001C16E4">
        <w:tc>
          <w:tcPr>
            <w:tcW w:w="3184" w:type="dxa"/>
          </w:tcPr>
          <w:p w14:paraId="661831FA" w14:textId="087ADF4B" w:rsidR="00053A87" w:rsidRPr="00FC21F3" w:rsidRDefault="00053A87" w:rsidP="001C16E4">
            <w:pPr>
              <w:spacing w:afterLines="60" w:after="144"/>
              <w:jc w:val="both"/>
              <w:rPr>
                <w:rFonts w:ascii="Times New Roman" w:hAnsi="Times New Roman" w:cs="Times New Roman"/>
                <w:noProof/>
                <w:sz w:val="22"/>
                <w:lang w:val="tr-TR" w:eastAsia="tr-TR"/>
              </w:rPr>
            </w:pPr>
            <w:r w:rsidRPr="00FC21F3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CD4E303" wp14:editId="045157CC">
                  <wp:extent cx="1800000" cy="720000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4" w:type="dxa"/>
          </w:tcPr>
          <w:p w14:paraId="51712047" w14:textId="77777777" w:rsidR="00E21041" w:rsidRPr="00FC21F3" w:rsidRDefault="00E21041" w:rsidP="003B3EDE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312" w:hanging="28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Mevcut beton sıcaklığına tekabül eden “kürlenme süresi (t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vertAlign w:val="subscript"/>
                <w:lang w:val="tr-TR"/>
              </w:rPr>
              <w:t>kürlenme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)” tamamlandıktan sonra b</w:t>
            </w:r>
            <w:r w:rsidR="00521461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eton dökülmesi </w:t>
            </w: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beton dökülecektir.</w:t>
            </w:r>
          </w:p>
          <w:p w14:paraId="49422587" w14:textId="06053BBC" w:rsidR="00E21041" w:rsidRPr="00FC21F3" w:rsidRDefault="00521461" w:rsidP="00E21041">
            <w:pPr>
              <w:pStyle w:val="ListParagraph"/>
              <w:spacing w:afterLines="60" w:after="144" w:line="240" w:lineRule="auto"/>
              <w:ind w:left="31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 xml:space="preserve"> </w:t>
            </w:r>
            <w:r w:rsidR="003B3EDE"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(</w:t>
            </w:r>
            <w:r w:rsidR="003B3EDE" w:rsidRPr="00FC21F3">
              <w:rPr>
                <w:rFonts w:ascii="Times New Roman" w:hAnsi="Times New Roman" w:cs="Times New Roman"/>
                <w:bCs/>
                <w:color w:val="000000" w:themeColor="text1"/>
                <w:sz w:val="22"/>
                <w:lang w:val="tr-TR"/>
              </w:rPr>
              <w:t>bkz.</w:t>
            </w:r>
            <w:r w:rsidR="003B3EDE"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 xml:space="preserve"> </w:t>
            </w:r>
            <w:r w:rsidR="003B3EDE"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ETA belgesi</w:t>
            </w:r>
            <w:r w:rsidR="00E21041" w:rsidRPr="00FC21F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tr-TR"/>
              </w:rPr>
              <w:t>)</w:t>
            </w:r>
          </w:p>
        </w:tc>
      </w:tr>
      <w:tr w:rsidR="007A02AB" w:rsidRPr="00FC21F3" w14:paraId="528A7962" w14:textId="77777777" w:rsidTr="001C16E4">
        <w:tc>
          <w:tcPr>
            <w:tcW w:w="9718" w:type="dxa"/>
            <w:gridSpan w:val="2"/>
          </w:tcPr>
          <w:p w14:paraId="2D8B42B2" w14:textId="77777777" w:rsidR="007A02AB" w:rsidRPr="00FC21F3" w:rsidRDefault="007A02AB" w:rsidP="007A02AB">
            <w:pPr>
              <w:pStyle w:val="ListParagraph"/>
              <w:numPr>
                <w:ilvl w:val="0"/>
                <w:numId w:val="6"/>
              </w:numPr>
              <w:spacing w:afterLines="60" w:after="144" w:line="240" w:lineRule="auto"/>
              <w:ind w:left="5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</w:pPr>
            <w:r w:rsidRPr="00FC21F3">
              <w:rPr>
                <w:rFonts w:ascii="Times New Roman" w:hAnsi="Times New Roman" w:cs="Times New Roman"/>
                <w:color w:val="000000" w:themeColor="text1"/>
                <w:sz w:val="22"/>
                <w:lang w:val="tr-TR"/>
              </w:rPr>
              <w:t>Uygulama yapılan deliğin nemli olması ya da doğrudan suya maruz kalması durumunda “kürlenme süresi” ürün özelliklerinde verilen  kürlenme sürelerinin 2 katı olarak alınır. (Su içeren ortamda kullanılan kimyasal ankrajın bu duruma uygunluğu teyit edilmedilir.)</w:t>
            </w:r>
          </w:p>
        </w:tc>
      </w:tr>
    </w:tbl>
    <w:p w14:paraId="3C62B259" w14:textId="4763380E" w:rsidR="007A02AB" w:rsidRPr="00683EB4" w:rsidRDefault="00683EB4" w:rsidP="00683EB4">
      <w:pPr>
        <w:pStyle w:val="Heading1"/>
        <w:numPr>
          <w:ilvl w:val="0"/>
          <w:numId w:val="12"/>
        </w:numPr>
      </w:pPr>
      <w:r>
        <w:t>UYGULAMA KONTROLÜ</w:t>
      </w:r>
    </w:p>
    <w:p w14:paraId="662CBA21" w14:textId="47182647" w:rsidR="00F6563B" w:rsidRPr="00FC21F3" w:rsidRDefault="007A02AB" w:rsidP="00B93038">
      <w:pPr>
        <w:pStyle w:val="ListParagraph"/>
        <w:numPr>
          <w:ilvl w:val="0"/>
          <w:numId w:val="6"/>
        </w:numPr>
        <w:spacing w:afterLines="60" w:after="144" w:line="240" w:lineRule="auto"/>
        <w:jc w:val="both"/>
        <w:rPr>
          <w:rFonts w:ascii="Times New Roman" w:hAnsi="Times New Roman" w:cs="Times New Roman"/>
          <w:color w:val="000000" w:themeColor="text1"/>
          <w:sz w:val="22"/>
          <w:lang w:val="tr-TR"/>
        </w:rPr>
      </w:pPr>
      <w:r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Yapılan uygulamaları test etmek için </w:t>
      </w:r>
      <w:r w:rsidR="00521461"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>ekilen filiz</w:t>
      </w:r>
      <w:r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adedinin %2</w:t>
      </w:r>
      <w:r w:rsidR="00521461"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>,5’una çekme testi yapılacaktır</w:t>
      </w:r>
      <w:bookmarkEnd w:id="0"/>
      <w:r w:rsidR="007F491E"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. (BS 8539 - 9.3 </w:t>
      </w:r>
      <w:r w:rsidR="00E065FA">
        <w:rPr>
          <w:rFonts w:ascii="Times New Roman" w:hAnsi="Times New Roman" w:cs="Times New Roman"/>
          <w:color w:val="000000" w:themeColor="text1"/>
          <w:sz w:val="22"/>
          <w:lang w:val="tr-TR"/>
        </w:rPr>
        <w:t>-</w:t>
      </w:r>
      <w:r w:rsidR="007F491E"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 Annex B.3 – non destructive test) </w:t>
      </w:r>
      <w:r w:rsidR="00070994"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 xml:space="preserve">. Statik müellif, müşavir ya da iş veren </w:t>
      </w:r>
      <w:r w:rsidR="00F534C0"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>test adedi için ilgili değişiklikleri yapabilir.</w:t>
      </w:r>
    </w:p>
    <w:p w14:paraId="21F98758" w14:textId="18F2BF3E" w:rsidR="00BB1C1E" w:rsidRPr="00FC21F3" w:rsidRDefault="00BB1C1E" w:rsidP="00B93038">
      <w:pPr>
        <w:pStyle w:val="ListParagraph"/>
        <w:numPr>
          <w:ilvl w:val="0"/>
          <w:numId w:val="6"/>
        </w:numPr>
        <w:spacing w:afterLines="60" w:after="144" w:line="240" w:lineRule="auto"/>
        <w:jc w:val="both"/>
        <w:rPr>
          <w:rFonts w:ascii="Times New Roman" w:hAnsi="Times New Roman" w:cs="Times New Roman"/>
          <w:color w:val="000000" w:themeColor="text1"/>
          <w:sz w:val="22"/>
          <w:lang w:val="tr-TR"/>
        </w:rPr>
      </w:pPr>
      <w:r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>Gömü derinliği ve çekme yükü ilgili hesap raporundan alınacaktır</w:t>
      </w:r>
      <w:r w:rsidR="00070994" w:rsidRPr="00FC21F3">
        <w:rPr>
          <w:rFonts w:ascii="Times New Roman" w:hAnsi="Times New Roman" w:cs="Times New Roman"/>
          <w:color w:val="000000" w:themeColor="text1"/>
          <w:sz w:val="22"/>
          <w:lang w:val="tr-TR"/>
        </w:rPr>
        <w:t>.</w:t>
      </w:r>
    </w:p>
    <w:sectPr w:rsidR="00BB1C1E" w:rsidRPr="00FC21F3" w:rsidSect="00D33E62">
      <w:pgSz w:w="11906" w:h="16838"/>
      <w:pgMar w:top="720" w:right="992" w:bottom="72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F7"/>
    <w:multiLevelType w:val="hybridMultilevel"/>
    <w:tmpl w:val="794CF1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D6"/>
    <w:multiLevelType w:val="hybridMultilevel"/>
    <w:tmpl w:val="CC2683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CF0"/>
    <w:multiLevelType w:val="multilevel"/>
    <w:tmpl w:val="0DAA9D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EE2275"/>
    <w:multiLevelType w:val="hybridMultilevel"/>
    <w:tmpl w:val="67A0D1D4"/>
    <w:lvl w:ilvl="0" w:tplc="45785B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44EC"/>
    <w:multiLevelType w:val="hybridMultilevel"/>
    <w:tmpl w:val="E96801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F407F"/>
    <w:multiLevelType w:val="hybridMultilevel"/>
    <w:tmpl w:val="B1F6BF1A"/>
    <w:lvl w:ilvl="0" w:tplc="02EC59A0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B280F"/>
    <w:multiLevelType w:val="hybridMultilevel"/>
    <w:tmpl w:val="069837D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C42F6A"/>
    <w:multiLevelType w:val="hybridMultilevel"/>
    <w:tmpl w:val="1E8C321E"/>
    <w:lvl w:ilvl="0" w:tplc="0936C104">
      <w:start w:val="1"/>
      <w:numFmt w:val="decimal"/>
      <w:pStyle w:val="Heading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94D49"/>
    <w:multiLevelType w:val="hybridMultilevel"/>
    <w:tmpl w:val="7C0C7132"/>
    <w:lvl w:ilvl="0" w:tplc="03B44F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B1340"/>
    <w:multiLevelType w:val="hybridMultilevel"/>
    <w:tmpl w:val="57DC2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FB9"/>
    <w:multiLevelType w:val="hybridMultilevel"/>
    <w:tmpl w:val="7C0C7132"/>
    <w:lvl w:ilvl="0" w:tplc="03B44F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B00AB"/>
    <w:multiLevelType w:val="hybridMultilevel"/>
    <w:tmpl w:val="30E29C8A"/>
    <w:lvl w:ilvl="0" w:tplc="625C00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217836">
    <w:abstractNumId w:val="3"/>
  </w:num>
  <w:num w:numId="2" w16cid:durableId="467551286">
    <w:abstractNumId w:val="9"/>
  </w:num>
  <w:num w:numId="3" w16cid:durableId="1842892489">
    <w:abstractNumId w:val="8"/>
  </w:num>
  <w:num w:numId="4" w16cid:durableId="1821463535">
    <w:abstractNumId w:val="10"/>
  </w:num>
  <w:num w:numId="5" w16cid:durableId="1649940155">
    <w:abstractNumId w:val="0"/>
  </w:num>
  <w:num w:numId="6" w16cid:durableId="1725447521">
    <w:abstractNumId w:val="1"/>
  </w:num>
  <w:num w:numId="7" w16cid:durableId="1631396521">
    <w:abstractNumId w:val="4"/>
  </w:num>
  <w:num w:numId="8" w16cid:durableId="1440220446">
    <w:abstractNumId w:val="6"/>
  </w:num>
  <w:num w:numId="9" w16cid:durableId="575094518">
    <w:abstractNumId w:val="2"/>
  </w:num>
  <w:num w:numId="10" w16cid:durableId="837498678">
    <w:abstractNumId w:val="5"/>
  </w:num>
  <w:num w:numId="11" w16cid:durableId="835614087">
    <w:abstractNumId w:val="7"/>
  </w:num>
  <w:num w:numId="12" w16cid:durableId="1509320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AB"/>
    <w:rsid w:val="00022170"/>
    <w:rsid w:val="00027873"/>
    <w:rsid w:val="00053A87"/>
    <w:rsid w:val="00070994"/>
    <w:rsid w:val="00086F63"/>
    <w:rsid w:val="000B3711"/>
    <w:rsid w:val="000B5E7E"/>
    <w:rsid w:val="000B5FF5"/>
    <w:rsid w:val="000B631B"/>
    <w:rsid w:val="000D00E0"/>
    <w:rsid w:val="000F44B8"/>
    <w:rsid w:val="000F549A"/>
    <w:rsid w:val="000F771B"/>
    <w:rsid w:val="0014515C"/>
    <w:rsid w:val="00175551"/>
    <w:rsid w:val="001A5261"/>
    <w:rsid w:val="001B09D1"/>
    <w:rsid w:val="001F3C1B"/>
    <w:rsid w:val="00211A05"/>
    <w:rsid w:val="002736B5"/>
    <w:rsid w:val="00274A97"/>
    <w:rsid w:val="002827C7"/>
    <w:rsid w:val="00284B51"/>
    <w:rsid w:val="002B179D"/>
    <w:rsid w:val="002B749C"/>
    <w:rsid w:val="002C2FEF"/>
    <w:rsid w:val="002C35A7"/>
    <w:rsid w:val="00312567"/>
    <w:rsid w:val="00313B61"/>
    <w:rsid w:val="003227CC"/>
    <w:rsid w:val="00357716"/>
    <w:rsid w:val="0038453C"/>
    <w:rsid w:val="003A0F99"/>
    <w:rsid w:val="003B3EDE"/>
    <w:rsid w:val="003B7CD0"/>
    <w:rsid w:val="003C2E23"/>
    <w:rsid w:val="003D315C"/>
    <w:rsid w:val="00416AB8"/>
    <w:rsid w:val="0044257F"/>
    <w:rsid w:val="00446756"/>
    <w:rsid w:val="00451264"/>
    <w:rsid w:val="0045469E"/>
    <w:rsid w:val="004556BE"/>
    <w:rsid w:val="00467626"/>
    <w:rsid w:val="004874C4"/>
    <w:rsid w:val="004D1D72"/>
    <w:rsid w:val="004D4F63"/>
    <w:rsid w:val="004D7568"/>
    <w:rsid w:val="004F5A56"/>
    <w:rsid w:val="00506043"/>
    <w:rsid w:val="00521461"/>
    <w:rsid w:val="00582990"/>
    <w:rsid w:val="00591327"/>
    <w:rsid w:val="005A5E14"/>
    <w:rsid w:val="005B43A2"/>
    <w:rsid w:val="005B6174"/>
    <w:rsid w:val="005C4612"/>
    <w:rsid w:val="005D0A60"/>
    <w:rsid w:val="005D4E96"/>
    <w:rsid w:val="005E0CC0"/>
    <w:rsid w:val="00620EE8"/>
    <w:rsid w:val="00664D6F"/>
    <w:rsid w:val="00683EB4"/>
    <w:rsid w:val="006913F0"/>
    <w:rsid w:val="006A2AF7"/>
    <w:rsid w:val="006C1848"/>
    <w:rsid w:val="006C241D"/>
    <w:rsid w:val="007008E4"/>
    <w:rsid w:val="00713CFB"/>
    <w:rsid w:val="007142B9"/>
    <w:rsid w:val="007160CA"/>
    <w:rsid w:val="00734B0F"/>
    <w:rsid w:val="00740D86"/>
    <w:rsid w:val="00742AB1"/>
    <w:rsid w:val="00746523"/>
    <w:rsid w:val="00767B64"/>
    <w:rsid w:val="00777D46"/>
    <w:rsid w:val="00791849"/>
    <w:rsid w:val="007A02AB"/>
    <w:rsid w:val="007C6216"/>
    <w:rsid w:val="007E2F0F"/>
    <w:rsid w:val="007E3898"/>
    <w:rsid w:val="007E521A"/>
    <w:rsid w:val="007F4137"/>
    <w:rsid w:val="007F491E"/>
    <w:rsid w:val="00800899"/>
    <w:rsid w:val="00802F44"/>
    <w:rsid w:val="00846F28"/>
    <w:rsid w:val="00853BDE"/>
    <w:rsid w:val="00872D13"/>
    <w:rsid w:val="00872D37"/>
    <w:rsid w:val="008870EF"/>
    <w:rsid w:val="00892D0F"/>
    <w:rsid w:val="00894D54"/>
    <w:rsid w:val="008A29F7"/>
    <w:rsid w:val="008C0825"/>
    <w:rsid w:val="008D5D39"/>
    <w:rsid w:val="00900945"/>
    <w:rsid w:val="009064AB"/>
    <w:rsid w:val="009153AD"/>
    <w:rsid w:val="009220BE"/>
    <w:rsid w:val="00943A31"/>
    <w:rsid w:val="00945499"/>
    <w:rsid w:val="00967D27"/>
    <w:rsid w:val="00984804"/>
    <w:rsid w:val="00985FE3"/>
    <w:rsid w:val="009A0C61"/>
    <w:rsid w:val="009A649B"/>
    <w:rsid w:val="009B46EB"/>
    <w:rsid w:val="009B69F8"/>
    <w:rsid w:val="009B6DE4"/>
    <w:rsid w:val="009D1905"/>
    <w:rsid w:val="00A03785"/>
    <w:rsid w:val="00A138EA"/>
    <w:rsid w:val="00A33624"/>
    <w:rsid w:val="00A3531E"/>
    <w:rsid w:val="00A65D47"/>
    <w:rsid w:val="00A728E0"/>
    <w:rsid w:val="00AA718C"/>
    <w:rsid w:val="00AE0064"/>
    <w:rsid w:val="00AE0BED"/>
    <w:rsid w:val="00B17BE4"/>
    <w:rsid w:val="00B25161"/>
    <w:rsid w:val="00B535E4"/>
    <w:rsid w:val="00B630CF"/>
    <w:rsid w:val="00B753E0"/>
    <w:rsid w:val="00B93038"/>
    <w:rsid w:val="00BB1C1E"/>
    <w:rsid w:val="00C02E87"/>
    <w:rsid w:val="00C10433"/>
    <w:rsid w:val="00C168EF"/>
    <w:rsid w:val="00C7594C"/>
    <w:rsid w:val="00C85422"/>
    <w:rsid w:val="00C871DD"/>
    <w:rsid w:val="00CA0866"/>
    <w:rsid w:val="00CC3316"/>
    <w:rsid w:val="00CC60C2"/>
    <w:rsid w:val="00CD41A7"/>
    <w:rsid w:val="00CD4EAF"/>
    <w:rsid w:val="00CE205E"/>
    <w:rsid w:val="00CE4B69"/>
    <w:rsid w:val="00CF16BC"/>
    <w:rsid w:val="00CF2FA9"/>
    <w:rsid w:val="00D30367"/>
    <w:rsid w:val="00D33E62"/>
    <w:rsid w:val="00D41062"/>
    <w:rsid w:val="00D42471"/>
    <w:rsid w:val="00D54A12"/>
    <w:rsid w:val="00D86EFD"/>
    <w:rsid w:val="00D93C12"/>
    <w:rsid w:val="00DB61FB"/>
    <w:rsid w:val="00DD76C7"/>
    <w:rsid w:val="00DE55E8"/>
    <w:rsid w:val="00DE7B98"/>
    <w:rsid w:val="00E05546"/>
    <w:rsid w:val="00E065FA"/>
    <w:rsid w:val="00E11E4C"/>
    <w:rsid w:val="00E17DC8"/>
    <w:rsid w:val="00E21041"/>
    <w:rsid w:val="00E407F6"/>
    <w:rsid w:val="00E53A3E"/>
    <w:rsid w:val="00E94893"/>
    <w:rsid w:val="00EF2ADA"/>
    <w:rsid w:val="00F27130"/>
    <w:rsid w:val="00F30899"/>
    <w:rsid w:val="00F34988"/>
    <w:rsid w:val="00F37442"/>
    <w:rsid w:val="00F534C0"/>
    <w:rsid w:val="00F6563B"/>
    <w:rsid w:val="00F828AD"/>
    <w:rsid w:val="00F90576"/>
    <w:rsid w:val="00F94232"/>
    <w:rsid w:val="00F95DF0"/>
    <w:rsid w:val="00FB29C0"/>
    <w:rsid w:val="00FC21F3"/>
    <w:rsid w:val="00FC6C26"/>
    <w:rsid w:val="00FE0387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5C96"/>
  <w15:chartTrackingRefBased/>
  <w15:docId w15:val="{4BB5404F-D50E-47FD-A5AC-61E6400D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AB"/>
    <w:pPr>
      <w:spacing w:after="0" w:line="260" w:lineRule="atLeast"/>
    </w:pPr>
    <w:rPr>
      <w:sz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EB4"/>
    <w:pPr>
      <w:keepNext/>
      <w:keepLines/>
      <w:numPr>
        <w:numId w:val="11"/>
      </w:numPr>
      <w:spacing w:before="360" w:after="24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:lang w:val="tr-TR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FC21F3"/>
    <w:pPr>
      <w:numPr>
        <w:ilvl w:val="1"/>
        <w:numId w:val="9"/>
      </w:numPr>
      <w:spacing w:before="40"/>
      <w:outlineLvl w:val="1"/>
    </w:pPr>
    <w:rPr>
      <w:rFonts w:asciiTheme="majorHAnsi" w:hAnsiTheme="majorHAns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5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5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5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5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5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5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B69"/>
    <w:pPr>
      <w:ind w:left="720"/>
      <w:contextualSpacing/>
    </w:pPr>
  </w:style>
  <w:style w:type="paragraph" w:customStyle="1" w:styleId="Default">
    <w:name w:val="Default"/>
    <w:rsid w:val="004D1D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A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A02AB"/>
    <w:pPr>
      <w:spacing w:after="200" w:line="240" w:lineRule="auto"/>
    </w:pPr>
    <w:rPr>
      <w:rFonts w:ascii="Times New Roman" w:hAnsi="Times New Roman"/>
      <w:b/>
      <w:iCs/>
      <w:color w:val="000000" w:themeColor="text1"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3EB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142B9"/>
    <w:pPr>
      <w:spacing w:line="36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2B9"/>
    <w:rPr>
      <w:rFonts w:ascii="Times New Roman" w:eastAsiaTheme="majorEastAsia" w:hAnsi="Times New Roman" w:cstheme="majorBidi"/>
      <w:b/>
      <w:spacing w:val="-10"/>
      <w:kern w:val="28"/>
      <w:sz w:val="28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C21F3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57F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57F"/>
    <w:rPr>
      <w:rFonts w:asciiTheme="majorHAnsi" w:eastAsiaTheme="majorEastAsia" w:hAnsiTheme="majorHAnsi" w:cstheme="majorBidi"/>
      <w:color w:val="2E74B5" w:themeColor="accent1" w:themeShade="BF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57F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57F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5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5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6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5F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5F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5F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5B833B425BD408E3E747C05CAD67F" ma:contentTypeVersion="19" ma:contentTypeDescription="Create a new document." ma:contentTypeScope="" ma:versionID="ae192d29ddf4474f72d7239c1538fcb5">
  <xsd:schema xmlns:xsd="http://www.w3.org/2001/XMLSchema" xmlns:xs="http://www.w3.org/2001/XMLSchema" xmlns:p="http://schemas.microsoft.com/office/2006/metadata/properties" xmlns:ns2="a91a677a-210f-47d6-88b1-0a8fc53d6ca0" xmlns:ns3="d5153d5b-8561-499a-9ddf-0a89f31b5876" targetNamespace="http://schemas.microsoft.com/office/2006/metadata/properties" ma:root="true" ma:fieldsID="d37628dfc3fc3221850dc4c4a24ccd6d" ns2:_="" ns3:_="">
    <xsd:import namespace="a91a677a-210f-47d6-88b1-0a8fc53d6ca0"/>
    <xsd:import namespace="d5153d5b-8561-499a-9ddf-0a89f31b5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677a-210f-47d6-88b1-0a8fc53d6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fbf178-f67b-402d-ac9c-6f6329b08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3d5b-8561-499a-9ddf-0a89f31b5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59eaa2-e23e-4fca-88fe-faa925090c48}" ma:internalName="TaxCatchAll" ma:showField="CatchAllData" ma:web="d5153d5b-8561-499a-9ddf-0a89f31b5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a677a-210f-47d6-88b1-0a8fc53d6ca0">
      <Terms xmlns="http://schemas.microsoft.com/office/infopath/2007/PartnerControls"/>
    </lcf76f155ced4ddcb4097134ff3c332f>
    <TaxCatchAll xmlns="d5153d5b-8561-499a-9ddf-0a89f31b5876" xsi:nil="true"/>
  </documentManagement>
</p:properties>
</file>

<file path=customXml/itemProps1.xml><?xml version="1.0" encoding="utf-8"?>
<ds:datastoreItem xmlns:ds="http://schemas.openxmlformats.org/officeDocument/2006/customXml" ds:itemID="{EA5F4319-E677-4E22-A4C8-4E33117043B4}"/>
</file>

<file path=customXml/itemProps2.xml><?xml version="1.0" encoding="utf-8"?>
<ds:datastoreItem xmlns:ds="http://schemas.openxmlformats.org/officeDocument/2006/customXml" ds:itemID="{DF5C1F7C-C05A-4D28-A908-2F2F86623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D770F-C5B7-45FF-BE50-257F47C194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AA97D-B237-4483-A666-F16D759FE0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4639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Ozcan, Cem</dc:creator>
  <cp:keywords/>
  <dc:description/>
  <cp:lastModifiedBy>Altindag, Ismail</cp:lastModifiedBy>
  <cp:revision>37</cp:revision>
  <dcterms:created xsi:type="dcterms:W3CDTF">2025-06-16T12:27:00Z</dcterms:created>
  <dcterms:modified xsi:type="dcterms:W3CDTF">2025-09-03T13:58:00Z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0x0101002825B833B425BD408E3E747C05CAD67F</vt:lpwstr>
  </property>
</Properties>
</file>